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F00F4" w14:textId="77777777" w:rsidR="00523C3F" w:rsidRPr="00C6114D" w:rsidRDefault="00523C3F" w:rsidP="00523C3F">
      <w:pPr>
        <w:jc w:val="center"/>
        <w:rPr>
          <w:rStyle w:val="eop"/>
          <w:rFonts w:ascii="Arial" w:hAnsi="Arial" w:cs="Arial"/>
          <w:b/>
          <w:bCs/>
          <w:sz w:val="24"/>
          <w:szCs w:val="24"/>
          <w:shd w:val="clear" w:color="auto" w:fill="FFFFFF"/>
        </w:rPr>
      </w:pPr>
      <w:r w:rsidRPr="00C6114D">
        <w:rPr>
          <w:rStyle w:val="eop"/>
          <w:rFonts w:ascii="Arial" w:hAnsi="Arial" w:cs="Arial"/>
          <w:b/>
          <w:bCs/>
          <w:sz w:val="24"/>
          <w:szCs w:val="24"/>
          <w:shd w:val="clear" w:color="auto" w:fill="FFFFFF"/>
        </w:rPr>
        <w:t xml:space="preserve">Statutory guidance: the reasonable steps </w:t>
      </w:r>
      <w:r w:rsidRPr="00C6114D">
        <w:rPr>
          <w:rStyle w:val="normaltextrun"/>
          <w:rFonts w:ascii="Arial" w:hAnsi="Arial" w:cs="Arial"/>
          <w:b/>
          <w:bCs/>
          <w:sz w:val="24"/>
          <w:szCs w:val="24"/>
        </w:rPr>
        <w:t>landlords should take before passing remediation costs onto leaseholders, under</w:t>
      </w:r>
      <w:r w:rsidRPr="00C6114D">
        <w:rPr>
          <w:rStyle w:val="normaltextrun"/>
          <w:rFonts w:ascii="Arial" w:hAnsi="Arial" w:cs="Arial"/>
          <w:sz w:val="24"/>
          <w:szCs w:val="24"/>
        </w:rPr>
        <w:t xml:space="preserve"> </w:t>
      </w:r>
      <w:r w:rsidRPr="00C6114D">
        <w:rPr>
          <w:rStyle w:val="eop"/>
          <w:rFonts w:ascii="Arial" w:hAnsi="Arial" w:cs="Arial"/>
          <w:b/>
          <w:bCs/>
          <w:sz w:val="24"/>
          <w:szCs w:val="24"/>
          <w:shd w:val="clear" w:color="auto" w:fill="FFFFFF"/>
        </w:rPr>
        <w:t>section 20D of the Landlord and Tenant Act 1985</w:t>
      </w:r>
    </w:p>
    <w:p w14:paraId="7263F6FA" w14:textId="77777777" w:rsidR="00664F85" w:rsidRDefault="00664F85" w:rsidP="00012F5F">
      <w:pPr>
        <w:jc w:val="center"/>
        <w:rPr>
          <w:rStyle w:val="eop"/>
          <w:rFonts w:ascii="Arial" w:hAnsi="Arial" w:cs="Arial"/>
          <w:b/>
          <w:bCs/>
          <w:sz w:val="24"/>
          <w:szCs w:val="24"/>
          <w:shd w:val="clear" w:color="auto" w:fill="FFFFFF"/>
        </w:rPr>
      </w:pPr>
    </w:p>
    <w:sdt>
      <w:sdtPr>
        <w:rPr>
          <w:rFonts w:asciiTheme="minorHAnsi" w:eastAsiaTheme="minorHAnsi" w:hAnsiTheme="minorHAnsi" w:cs="Arial"/>
          <w:b w:val="0"/>
          <w:color w:val="auto"/>
          <w:sz w:val="22"/>
          <w:szCs w:val="22"/>
          <w:lang w:val="en-GB"/>
        </w:rPr>
        <w:id w:val="-233701200"/>
        <w:docPartObj>
          <w:docPartGallery w:val="Table of Contents"/>
          <w:docPartUnique/>
        </w:docPartObj>
      </w:sdtPr>
      <w:sdtContent>
        <w:p w14:paraId="77C35D9C" w14:textId="2808EA19" w:rsidR="00D96CA6" w:rsidRPr="00664F85" w:rsidRDefault="00D96CA6">
          <w:pPr>
            <w:pStyle w:val="TOCHeading"/>
            <w:rPr>
              <w:rFonts w:cs="Arial"/>
            </w:rPr>
          </w:pPr>
          <w:r w:rsidRPr="00664F85">
            <w:rPr>
              <w:rFonts w:cs="Arial"/>
            </w:rPr>
            <w:t>Contents</w:t>
          </w:r>
        </w:p>
        <w:p w14:paraId="7A0CA0D9" w14:textId="3EA843D3" w:rsidR="00664F85" w:rsidRPr="00664F85" w:rsidRDefault="001A3B53">
          <w:pPr>
            <w:pStyle w:val="TOC1"/>
            <w:rPr>
              <w:rFonts w:eastAsiaTheme="minorEastAsia"/>
              <w:b w:val="0"/>
              <w:bCs w:val="0"/>
              <w:sz w:val="22"/>
              <w:szCs w:val="22"/>
              <w:lang w:eastAsia="en-GB"/>
            </w:rPr>
          </w:pPr>
          <w:r w:rsidRPr="00664F85">
            <w:rPr>
              <w:caps/>
            </w:rPr>
            <w:fldChar w:fldCharType="begin"/>
          </w:r>
          <w:r w:rsidRPr="00664F85">
            <w:rPr>
              <w:caps/>
            </w:rPr>
            <w:instrText xml:space="preserve"> TOC \o "1-3" \h \z \u </w:instrText>
          </w:r>
          <w:r w:rsidRPr="00664F85">
            <w:rPr>
              <w:caps/>
            </w:rPr>
            <w:fldChar w:fldCharType="separate"/>
          </w:r>
          <w:hyperlink w:anchor="_Toc115948276" w:history="1">
            <w:r w:rsidR="00664F85" w:rsidRPr="00664F85">
              <w:rPr>
                <w:rStyle w:val="Hyperlink"/>
              </w:rPr>
              <w:t>Introduction to this guidance</w:t>
            </w:r>
            <w:r w:rsidR="00664F85" w:rsidRPr="00664F85">
              <w:rPr>
                <w:webHidden/>
              </w:rPr>
              <w:tab/>
            </w:r>
            <w:r w:rsidR="00664F85" w:rsidRPr="00664F85">
              <w:rPr>
                <w:webHidden/>
              </w:rPr>
              <w:fldChar w:fldCharType="begin"/>
            </w:r>
            <w:r w:rsidR="00664F85" w:rsidRPr="00664F85">
              <w:rPr>
                <w:webHidden/>
              </w:rPr>
              <w:instrText xml:space="preserve"> PAGEREF _Toc115948276 \h </w:instrText>
            </w:r>
            <w:r w:rsidR="00664F85" w:rsidRPr="00664F85">
              <w:rPr>
                <w:webHidden/>
              </w:rPr>
            </w:r>
            <w:r w:rsidR="00664F85" w:rsidRPr="00664F85">
              <w:rPr>
                <w:webHidden/>
              </w:rPr>
              <w:fldChar w:fldCharType="separate"/>
            </w:r>
            <w:r w:rsidR="00615BAC">
              <w:rPr>
                <w:webHidden/>
              </w:rPr>
              <w:t>2</w:t>
            </w:r>
            <w:r w:rsidR="00664F85" w:rsidRPr="00664F85">
              <w:rPr>
                <w:webHidden/>
              </w:rPr>
              <w:fldChar w:fldCharType="end"/>
            </w:r>
          </w:hyperlink>
        </w:p>
        <w:p w14:paraId="51839F0A" w14:textId="4744620A" w:rsidR="00664F85" w:rsidRPr="00664F85" w:rsidRDefault="00000000">
          <w:pPr>
            <w:pStyle w:val="TOC2"/>
            <w:rPr>
              <w:rFonts w:ascii="Arial" w:eastAsiaTheme="minorEastAsia" w:hAnsi="Arial" w:cs="Arial"/>
              <w:i w:val="0"/>
              <w:iCs w:val="0"/>
              <w:noProof/>
              <w:sz w:val="22"/>
              <w:szCs w:val="22"/>
              <w:lang w:eastAsia="en-GB"/>
            </w:rPr>
          </w:pPr>
          <w:hyperlink w:anchor="_Toc115948277" w:history="1">
            <w:r w:rsidR="00664F85" w:rsidRPr="00664F85">
              <w:rPr>
                <w:rStyle w:val="Hyperlink"/>
                <w:rFonts w:ascii="Arial" w:hAnsi="Arial" w:cs="Arial"/>
                <w:noProof/>
              </w:rPr>
              <w:t>1. Summary</w:t>
            </w:r>
            <w:r w:rsidR="00664F85" w:rsidRPr="00664F85">
              <w:rPr>
                <w:rFonts w:ascii="Arial" w:hAnsi="Arial" w:cs="Arial"/>
                <w:noProof/>
                <w:webHidden/>
              </w:rPr>
              <w:tab/>
            </w:r>
            <w:r w:rsidR="00664F85" w:rsidRPr="00664F85">
              <w:rPr>
                <w:rFonts w:ascii="Arial" w:hAnsi="Arial" w:cs="Arial"/>
                <w:noProof/>
                <w:webHidden/>
              </w:rPr>
              <w:fldChar w:fldCharType="begin"/>
            </w:r>
            <w:r w:rsidR="00664F85" w:rsidRPr="00664F85">
              <w:rPr>
                <w:rFonts w:ascii="Arial" w:hAnsi="Arial" w:cs="Arial"/>
                <w:noProof/>
                <w:webHidden/>
              </w:rPr>
              <w:instrText xml:space="preserve"> PAGEREF _Toc115948277 \h </w:instrText>
            </w:r>
            <w:r w:rsidR="00664F85" w:rsidRPr="00664F85">
              <w:rPr>
                <w:rFonts w:ascii="Arial" w:hAnsi="Arial" w:cs="Arial"/>
                <w:noProof/>
                <w:webHidden/>
              </w:rPr>
            </w:r>
            <w:r w:rsidR="00664F85" w:rsidRPr="00664F85">
              <w:rPr>
                <w:rFonts w:ascii="Arial" w:hAnsi="Arial" w:cs="Arial"/>
                <w:noProof/>
                <w:webHidden/>
              </w:rPr>
              <w:fldChar w:fldCharType="separate"/>
            </w:r>
            <w:r w:rsidR="00615BAC">
              <w:rPr>
                <w:rFonts w:ascii="Arial" w:hAnsi="Arial" w:cs="Arial"/>
                <w:noProof/>
                <w:webHidden/>
              </w:rPr>
              <w:t>2</w:t>
            </w:r>
            <w:r w:rsidR="00664F85" w:rsidRPr="00664F85">
              <w:rPr>
                <w:rFonts w:ascii="Arial" w:hAnsi="Arial" w:cs="Arial"/>
                <w:noProof/>
                <w:webHidden/>
              </w:rPr>
              <w:fldChar w:fldCharType="end"/>
            </w:r>
          </w:hyperlink>
        </w:p>
        <w:p w14:paraId="4179265D" w14:textId="30526900" w:rsidR="00664F85" w:rsidRPr="00664F85" w:rsidRDefault="00000000">
          <w:pPr>
            <w:pStyle w:val="TOC2"/>
            <w:rPr>
              <w:rFonts w:ascii="Arial" w:eastAsiaTheme="minorEastAsia" w:hAnsi="Arial" w:cs="Arial"/>
              <w:i w:val="0"/>
              <w:iCs w:val="0"/>
              <w:noProof/>
              <w:sz w:val="22"/>
              <w:szCs w:val="22"/>
              <w:lang w:eastAsia="en-GB"/>
            </w:rPr>
          </w:pPr>
          <w:hyperlink w:anchor="_Toc115948278" w:history="1">
            <w:r w:rsidR="00664F85" w:rsidRPr="00664F85">
              <w:rPr>
                <w:rStyle w:val="Hyperlink"/>
                <w:rFonts w:ascii="Arial" w:hAnsi="Arial" w:cs="Arial"/>
                <w:noProof/>
              </w:rPr>
              <w:t>2. Purpose of this guidance</w:t>
            </w:r>
            <w:r w:rsidR="00664F85" w:rsidRPr="00664F85">
              <w:rPr>
                <w:rFonts w:ascii="Arial" w:hAnsi="Arial" w:cs="Arial"/>
                <w:noProof/>
                <w:webHidden/>
              </w:rPr>
              <w:tab/>
            </w:r>
            <w:r w:rsidR="00664F85" w:rsidRPr="00664F85">
              <w:rPr>
                <w:rFonts w:ascii="Arial" w:hAnsi="Arial" w:cs="Arial"/>
                <w:noProof/>
                <w:webHidden/>
              </w:rPr>
              <w:fldChar w:fldCharType="begin"/>
            </w:r>
            <w:r w:rsidR="00664F85" w:rsidRPr="00664F85">
              <w:rPr>
                <w:rFonts w:ascii="Arial" w:hAnsi="Arial" w:cs="Arial"/>
                <w:noProof/>
                <w:webHidden/>
              </w:rPr>
              <w:instrText xml:space="preserve"> PAGEREF _Toc115948278 \h </w:instrText>
            </w:r>
            <w:r w:rsidR="00664F85" w:rsidRPr="00664F85">
              <w:rPr>
                <w:rFonts w:ascii="Arial" w:hAnsi="Arial" w:cs="Arial"/>
                <w:noProof/>
                <w:webHidden/>
              </w:rPr>
            </w:r>
            <w:r w:rsidR="00664F85" w:rsidRPr="00664F85">
              <w:rPr>
                <w:rFonts w:ascii="Arial" w:hAnsi="Arial" w:cs="Arial"/>
                <w:noProof/>
                <w:webHidden/>
              </w:rPr>
              <w:fldChar w:fldCharType="separate"/>
            </w:r>
            <w:r w:rsidR="00615BAC">
              <w:rPr>
                <w:rFonts w:ascii="Arial" w:hAnsi="Arial" w:cs="Arial"/>
                <w:noProof/>
                <w:webHidden/>
              </w:rPr>
              <w:t>2</w:t>
            </w:r>
            <w:r w:rsidR="00664F85" w:rsidRPr="00664F85">
              <w:rPr>
                <w:rFonts w:ascii="Arial" w:hAnsi="Arial" w:cs="Arial"/>
                <w:noProof/>
                <w:webHidden/>
              </w:rPr>
              <w:fldChar w:fldCharType="end"/>
            </w:r>
          </w:hyperlink>
        </w:p>
        <w:p w14:paraId="5FC18E8E" w14:textId="7BF5DB3F" w:rsidR="00664F85" w:rsidRPr="00664F85" w:rsidRDefault="00000000">
          <w:pPr>
            <w:pStyle w:val="TOC2"/>
            <w:rPr>
              <w:rFonts w:ascii="Arial" w:eastAsiaTheme="minorEastAsia" w:hAnsi="Arial" w:cs="Arial"/>
              <w:i w:val="0"/>
              <w:iCs w:val="0"/>
              <w:noProof/>
              <w:sz w:val="22"/>
              <w:szCs w:val="22"/>
              <w:lang w:eastAsia="en-GB"/>
            </w:rPr>
          </w:pPr>
          <w:hyperlink w:anchor="_Toc115948279" w:history="1">
            <w:r w:rsidR="00664F85" w:rsidRPr="00664F85">
              <w:rPr>
                <w:rStyle w:val="Hyperlink"/>
                <w:rFonts w:ascii="Arial" w:hAnsi="Arial" w:cs="Arial"/>
                <w:noProof/>
              </w:rPr>
              <w:t>3. Application of this guidance</w:t>
            </w:r>
            <w:r w:rsidR="00664F85" w:rsidRPr="00664F85">
              <w:rPr>
                <w:rFonts w:ascii="Arial" w:hAnsi="Arial" w:cs="Arial"/>
                <w:noProof/>
                <w:webHidden/>
              </w:rPr>
              <w:tab/>
            </w:r>
            <w:r w:rsidR="00664F85" w:rsidRPr="00664F85">
              <w:rPr>
                <w:rFonts w:ascii="Arial" w:hAnsi="Arial" w:cs="Arial"/>
                <w:noProof/>
                <w:webHidden/>
              </w:rPr>
              <w:fldChar w:fldCharType="begin"/>
            </w:r>
            <w:r w:rsidR="00664F85" w:rsidRPr="00664F85">
              <w:rPr>
                <w:rFonts w:ascii="Arial" w:hAnsi="Arial" w:cs="Arial"/>
                <w:noProof/>
                <w:webHidden/>
              </w:rPr>
              <w:instrText xml:space="preserve"> PAGEREF _Toc115948279 \h </w:instrText>
            </w:r>
            <w:r w:rsidR="00664F85" w:rsidRPr="00664F85">
              <w:rPr>
                <w:rFonts w:ascii="Arial" w:hAnsi="Arial" w:cs="Arial"/>
                <w:noProof/>
                <w:webHidden/>
              </w:rPr>
            </w:r>
            <w:r w:rsidR="00664F85" w:rsidRPr="00664F85">
              <w:rPr>
                <w:rFonts w:ascii="Arial" w:hAnsi="Arial" w:cs="Arial"/>
                <w:noProof/>
                <w:webHidden/>
              </w:rPr>
              <w:fldChar w:fldCharType="separate"/>
            </w:r>
            <w:r w:rsidR="00615BAC">
              <w:rPr>
                <w:rFonts w:ascii="Arial" w:hAnsi="Arial" w:cs="Arial"/>
                <w:noProof/>
                <w:webHidden/>
              </w:rPr>
              <w:t>2</w:t>
            </w:r>
            <w:r w:rsidR="00664F85" w:rsidRPr="00664F85">
              <w:rPr>
                <w:rFonts w:ascii="Arial" w:hAnsi="Arial" w:cs="Arial"/>
                <w:noProof/>
                <w:webHidden/>
              </w:rPr>
              <w:fldChar w:fldCharType="end"/>
            </w:r>
          </w:hyperlink>
        </w:p>
        <w:p w14:paraId="1F86D673" w14:textId="5D37F76F" w:rsidR="00664F85" w:rsidRPr="00664F85" w:rsidRDefault="00000000">
          <w:pPr>
            <w:pStyle w:val="TOC2"/>
            <w:rPr>
              <w:rFonts w:ascii="Arial" w:eastAsiaTheme="minorEastAsia" w:hAnsi="Arial" w:cs="Arial"/>
              <w:i w:val="0"/>
              <w:iCs w:val="0"/>
              <w:noProof/>
              <w:sz w:val="22"/>
              <w:szCs w:val="22"/>
              <w:lang w:eastAsia="en-GB"/>
            </w:rPr>
          </w:pPr>
          <w:hyperlink w:anchor="_Toc115948280" w:history="1">
            <w:r w:rsidR="00664F85" w:rsidRPr="00664F85">
              <w:rPr>
                <w:rStyle w:val="Hyperlink"/>
                <w:rFonts w:ascii="Arial" w:hAnsi="Arial" w:cs="Arial"/>
                <w:bCs/>
                <w:noProof/>
              </w:rPr>
              <w:t>4. Interpretation of terms</w:t>
            </w:r>
            <w:r w:rsidR="00664F85" w:rsidRPr="00664F85">
              <w:rPr>
                <w:rFonts w:ascii="Arial" w:hAnsi="Arial" w:cs="Arial"/>
                <w:noProof/>
                <w:webHidden/>
              </w:rPr>
              <w:tab/>
            </w:r>
            <w:r w:rsidR="00664F85" w:rsidRPr="00664F85">
              <w:rPr>
                <w:rFonts w:ascii="Arial" w:hAnsi="Arial" w:cs="Arial"/>
                <w:noProof/>
                <w:webHidden/>
              </w:rPr>
              <w:fldChar w:fldCharType="begin"/>
            </w:r>
            <w:r w:rsidR="00664F85" w:rsidRPr="00664F85">
              <w:rPr>
                <w:rFonts w:ascii="Arial" w:hAnsi="Arial" w:cs="Arial"/>
                <w:noProof/>
                <w:webHidden/>
              </w:rPr>
              <w:instrText xml:space="preserve"> PAGEREF _Toc115948280 \h </w:instrText>
            </w:r>
            <w:r w:rsidR="00664F85" w:rsidRPr="00664F85">
              <w:rPr>
                <w:rFonts w:ascii="Arial" w:hAnsi="Arial" w:cs="Arial"/>
                <w:noProof/>
                <w:webHidden/>
              </w:rPr>
            </w:r>
            <w:r w:rsidR="00664F85" w:rsidRPr="00664F85">
              <w:rPr>
                <w:rFonts w:ascii="Arial" w:hAnsi="Arial" w:cs="Arial"/>
                <w:noProof/>
                <w:webHidden/>
              </w:rPr>
              <w:fldChar w:fldCharType="separate"/>
            </w:r>
            <w:r w:rsidR="00615BAC">
              <w:rPr>
                <w:rFonts w:ascii="Arial" w:hAnsi="Arial" w:cs="Arial"/>
                <w:noProof/>
                <w:webHidden/>
              </w:rPr>
              <w:t>3</w:t>
            </w:r>
            <w:r w:rsidR="00664F85" w:rsidRPr="00664F85">
              <w:rPr>
                <w:rFonts w:ascii="Arial" w:hAnsi="Arial" w:cs="Arial"/>
                <w:noProof/>
                <w:webHidden/>
              </w:rPr>
              <w:fldChar w:fldCharType="end"/>
            </w:r>
          </w:hyperlink>
        </w:p>
        <w:p w14:paraId="12DDACBB" w14:textId="4E80ADF3" w:rsidR="00664F85" w:rsidRPr="00664F85" w:rsidRDefault="00000000">
          <w:pPr>
            <w:pStyle w:val="TOC1"/>
            <w:rPr>
              <w:rFonts w:eastAsiaTheme="minorEastAsia"/>
              <w:b w:val="0"/>
              <w:bCs w:val="0"/>
              <w:sz w:val="22"/>
              <w:szCs w:val="22"/>
              <w:lang w:eastAsia="en-GB"/>
            </w:rPr>
          </w:pPr>
          <w:hyperlink w:anchor="_Toc115948281" w:history="1">
            <w:r w:rsidR="00664F85" w:rsidRPr="00664F85">
              <w:rPr>
                <w:rStyle w:val="Hyperlink"/>
              </w:rPr>
              <w:t>Overview of who pays for remediation works and legal expenses</w:t>
            </w:r>
            <w:r w:rsidR="00664F85" w:rsidRPr="00664F85">
              <w:rPr>
                <w:webHidden/>
              </w:rPr>
              <w:tab/>
            </w:r>
            <w:r w:rsidR="00664F85" w:rsidRPr="00664F85">
              <w:rPr>
                <w:webHidden/>
              </w:rPr>
              <w:fldChar w:fldCharType="begin"/>
            </w:r>
            <w:r w:rsidR="00664F85" w:rsidRPr="00664F85">
              <w:rPr>
                <w:webHidden/>
              </w:rPr>
              <w:instrText xml:space="preserve"> PAGEREF _Toc115948281 \h </w:instrText>
            </w:r>
            <w:r w:rsidR="00664F85" w:rsidRPr="00664F85">
              <w:rPr>
                <w:webHidden/>
              </w:rPr>
            </w:r>
            <w:r w:rsidR="00664F85" w:rsidRPr="00664F85">
              <w:rPr>
                <w:webHidden/>
              </w:rPr>
              <w:fldChar w:fldCharType="separate"/>
            </w:r>
            <w:r w:rsidR="00615BAC">
              <w:rPr>
                <w:webHidden/>
              </w:rPr>
              <w:t>4</w:t>
            </w:r>
            <w:r w:rsidR="00664F85" w:rsidRPr="00664F85">
              <w:rPr>
                <w:webHidden/>
              </w:rPr>
              <w:fldChar w:fldCharType="end"/>
            </w:r>
          </w:hyperlink>
        </w:p>
        <w:p w14:paraId="5D384930" w14:textId="72ACB5D8" w:rsidR="00664F85" w:rsidRPr="00664F85" w:rsidRDefault="00000000">
          <w:pPr>
            <w:pStyle w:val="TOC2"/>
            <w:rPr>
              <w:rFonts w:ascii="Arial" w:eastAsiaTheme="minorEastAsia" w:hAnsi="Arial" w:cs="Arial"/>
              <w:i w:val="0"/>
              <w:iCs w:val="0"/>
              <w:noProof/>
              <w:sz w:val="22"/>
              <w:szCs w:val="22"/>
              <w:lang w:eastAsia="en-GB"/>
            </w:rPr>
          </w:pPr>
          <w:hyperlink w:anchor="_Toc115948282" w:history="1">
            <w:r w:rsidR="00664F85" w:rsidRPr="00664F85">
              <w:rPr>
                <w:rStyle w:val="Hyperlink"/>
                <w:rFonts w:ascii="Arial" w:hAnsi="Arial" w:cs="Arial"/>
                <w:noProof/>
              </w:rPr>
              <w:t>5. The leaseholder protections</w:t>
            </w:r>
            <w:r w:rsidR="00664F85" w:rsidRPr="00664F85">
              <w:rPr>
                <w:rFonts w:ascii="Arial" w:hAnsi="Arial" w:cs="Arial"/>
                <w:noProof/>
                <w:webHidden/>
              </w:rPr>
              <w:tab/>
            </w:r>
            <w:r w:rsidR="00664F85" w:rsidRPr="00664F85">
              <w:rPr>
                <w:rFonts w:ascii="Arial" w:hAnsi="Arial" w:cs="Arial"/>
                <w:noProof/>
                <w:webHidden/>
              </w:rPr>
              <w:fldChar w:fldCharType="begin"/>
            </w:r>
            <w:r w:rsidR="00664F85" w:rsidRPr="00664F85">
              <w:rPr>
                <w:rFonts w:ascii="Arial" w:hAnsi="Arial" w:cs="Arial"/>
                <w:noProof/>
                <w:webHidden/>
              </w:rPr>
              <w:instrText xml:space="preserve"> PAGEREF _Toc115948282 \h </w:instrText>
            </w:r>
            <w:r w:rsidR="00664F85" w:rsidRPr="00664F85">
              <w:rPr>
                <w:rFonts w:ascii="Arial" w:hAnsi="Arial" w:cs="Arial"/>
                <w:noProof/>
                <w:webHidden/>
              </w:rPr>
            </w:r>
            <w:r w:rsidR="00664F85" w:rsidRPr="00664F85">
              <w:rPr>
                <w:rFonts w:ascii="Arial" w:hAnsi="Arial" w:cs="Arial"/>
                <w:noProof/>
                <w:webHidden/>
              </w:rPr>
              <w:fldChar w:fldCharType="separate"/>
            </w:r>
            <w:r w:rsidR="00615BAC">
              <w:rPr>
                <w:rFonts w:ascii="Arial" w:hAnsi="Arial" w:cs="Arial"/>
                <w:noProof/>
                <w:webHidden/>
              </w:rPr>
              <w:t>4</w:t>
            </w:r>
            <w:r w:rsidR="00664F85" w:rsidRPr="00664F85">
              <w:rPr>
                <w:rFonts w:ascii="Arial" w:hAnsi="Arial" w:cs="Arial"/>
                <w:noProof/>
                <w:webHidden/>
              </w:rPr>
              <w:fldChar w:fldCharType="end"/>
            </w:r>
          </w:hyperlink>
        </w:p>
        <w:p w14:paraId="535CACAC" w14:textId="757E5DEF" w:rsidR="00664F85" w:rsidRPr="00664F85" w:rsidRDefault="00000000">
          <w:pPr>
            <w:pStyle w:val="TOC2"/>
            <w:rPr>
              <w:rFonts w:ascii="Arial" w:eastAsiaTheme="minorEastAsia" w:hAnsi="Arial" w:cs="Arial"/>
              <w:i w:val="0"/>
              <w:iCs w:val="0"/>
              <w:noProof/>
              <w:sz w:val="22"/>
              <w:szCs w:val="22"/>
              <w:lang w:eastAsia="en-GB"/>
            </w:rPr>
          </w:pPr>
          <w:hyperlink w:anchor="_Toc115948283" w:history="1">
            <w:r w:rsidR="00664F85" w:rsidRPr="00664F85">
              <w:rPr>
                <w:rStyle w:val="Hyperlink"/>
                <w:rFonts w:ascii="Arial" w:hAnsi="Arial" w:cs="Arial"/>
                <w:noProof/>
              </w:rPr>
              <w:t>6. The new requirements on landlords before they can pass remediation costs onto leaseholders</w:t>
            </w:r>
            <w:r w:rsidR="00664F85" w:rsidRPr="00664F85">
              <w:rPr>
                <w:rFonts w:ascii="Arial" w:hAnsi="Arial" w:cs="Arial"/>
                <w:noProof/>
                <w:webHidden/>
              </w:rPr>
              <w:tab/>
            </w:r>
            <w:r w:rsidR="00664F85" w:rsidRPr="00664F85">
              <w:rPr>
                <w:rFonts w:ascii="Arial" w:hAnsi="Arial" w:cs="Arial"/>
                <w:noProof/>
                <w:webHidden/>
              </w:rPr>
              <w:fldChar w:fldCharType="begin"/>
            </w:r>
            <w:r w:rsidR="00664F85" w:rsidRPr="00664F85">
              <w:rPr>
                <w:rFonts w:ascii="Arial" w:hAnsi="Arial" w:cs="Arial"/>
                <w:noProof/>
                <w:webHidden/>
              </w:rPr>
              <w:instrText xml:space="preserve"> PAGEREF _Toc115948283 \h </w:instrText>
            </w:r>
            <w:r w:rsidR="00664F85" w:rsidRPr="00664F85">
              <w:rPr>
                <w:rFonts w:ascii="Arial" w:hAnsi="Arial" w:cs="Arial"/>
                <w:noProof/>
                <w:webHidden/>
              </w:rPr>
            </w:r>
            <w:r w:rsidR="00664F85" w:rsidRPr="00664F85">
              <w:rPr>
                <w:rFonts w:ascii="Arial" w:hAnsi="Arial" w:cs="Arial"/>
                <w:noProof/>
                <w:webHidden/>
              </w:rPr>
              <w:fldChar w:fldCharType="separate"/>
            </w:r>
            <w:r w:rsidR="00615BAC">
              <w:rPr>
                <w:rFonts w:ascii="Arial" w:hAnsi="Arial" w:cs="Arial"/>
                <w:noProof/>
                <w:webHidden/>
              </w:rPr>
              <w:t>5</w:t>
            </w:r>
            <w:r w:rsidR="00664F85" w:rsidRPr="00664F85">
              <w:rPr>
                <w:rFonts w:ascii="Arial" w:hAnsi="Arial" w:cs="Arial"/>
                <w:noProof/>
                <w:webHidden/>
              </w:rPr>
              <w:fldChar w:fldCharType="end"/>
            </w:r>
          </w:hyperlink>
        </w:p>
        <w:p w14:paraId="25593474" w14:textId="03EE8BED" w:rsidR="00664F85" w:rsidRPr="00664F85" w:rsidRDefault="00000000">
          <w:pPr>
            <w:pStyle w:val="TOC2"/>
            <w:rPr>
              <w:rFonts w:ascii="Arial" w:eastAsiaTheme="minorEastAsia" w:hAnsi="Arial" w:cs="Arial"/>
              <w:i w:val="0"/>
              <w:iCs w:val="0"/>
              <w:noProof/>
              <w:sz w:val="22"/>
              <w:szCs w:val="22"/>
              <w:lang w:eastAsia="en-GB"/>
            </w:rPr>
          </w:pPr>
          <w:hyperlink w:anchor="_Toc115948284" w:history="1">
            <w:r w:rsidR="00664F85" w:rsidRPr="00664F85">
              <w:rPr>
                <w:rStyle w:val="Hyperlink"/>
                <w:rFonts w:ascii="Arial" w:hAnsi="Arial" w:cs="Arial"/>
                <w:noProof/>
              </w:rPr>
              <w:t>7. Adopting a proportional approach to building safety</w:t>
            </w:r>
            <w:r w:rsidR="00664F85" w:rsidRPr="00664F85">
              <w:rPr>
                <w:rFonts w:ascii="Arial" w:hAnsi="Arial" w:cs="Arial"/>
                <w:noProof/>
                <w:webHidden/>
              </w:rPr>
              <w:tab/>
            </w:r>
            <w:r w:rsidR="00664F85" w:rsidRPr="00664F85">
              <w:rPr>
                <w:rFonts w:ascii="Arial" w:hAnsi="Arial" w:cs="Arial"/>
                <w:noProof/>
                <w:webHidden/>
              </w:rPr>
              <w:fldChar w:fldCharType="begin"/>
            </w:r>
            <w:r w:rsidR="00664F85" w:rsidRPr="00664F85">
              <w:rPr>
                <w:rFonts w:ascii="Arial" w:hAnsi="Arial" w:cs="Arial"/>
                <w:noProof/>
                <w:webHidden/>
              </w:rPr>
              <w:instrText xml:space="preserve"> PAGEREF _Toc115948284 \h </w:instrText>
            </w:r>
            <w:r w:rsidR="00664F85" w:rsidRPr="00664F85">
              <w:rPr>
                <w:rFonts w:ascii="Arial" w:hAnsi="Arial" w:cs="Arial"/>
                <w:noProof/>
                <w:webHidden/>
              </w:rPr>
            </w:r>
            <w:r w:rsidR="00664F85" w:rsidRPr="00664F85">
              <w:rPr>
                <w:rFonts w:ascii="Arial" w:hAnsi="Arial" w:cs="Arial"/>
                <w:noProof/>
                <w:webHidden/>
              </w:rPr>
              <w:fldChar w:fldCharType="separate"/>
            </w:r>
            <w:r w:rsidR="00615BAC">
              <w:rPr>
                <w:rFonts w:ascii="Arial" w:hAnsi="Arial" w:cs="Arial"/>
                <w:noProof/>
                <w:webHidden/>
              </w:rPr>
              <w:t>6</w:t>
            </w:r>
            <w:r w:rsidR="00664F85" w:rsidRPr="00664F85">
              <w:rPr>
                <w:rFonts w:ascii="Arial" w:hAnsi="Arial" w:cs="Arial"/>
                <w:noProof/>
                <w:webHidden/>
              </w:rPr>
              <w:fldChar w:fldCharType="end"/>
            </w:r>
          </w:hyperlink>
        </w:p>
        <w:p w14:paraId="6A3E042E" w14:textId="6B0237B4" w:rsidR="00664F85" w:rsidRPr="00664F85" w:rsidRDefault="00000000">
          <w:pPr>
            <w:pStyle w:val="TOC1"/>
            <w:rPr>
              <w:rFonts w:eastAsiaTheme="minorEastAsia"/>
              <w:b w:val="0"/>
              <w:bCs w:val="0"/>
              <w:sz w:val="22"/>
              <w:szCs w:val="22"/>
              <w:lang w:eastAsia="en-GB"/>
            </w:rPr>
          </w:pPr>
          <w:hyperlink w:anchor="_Toc115948285" w:history="1">
            <w:r w:rsidR="00664F85" w:rsidRPr="00664F85">
              <w:rPr>
                <w:rStyle w:val="Hyperlink"/>
              </w:rPr>
              <w:t>What reasonable steps should the landlord follow to recover the costs of remediation before asking leaseholder to contribute?</w:t>
            </w:r>
            <w:r w:rsidR="00664F85" w:rsidRPr="00664F85">
              <w:rPr>
                <w:webHidden/>
              </w:rPr>
              <w:tab/>
            </w:r>
            <w:r w:rsidR="00664F85" w:rsidRPr="00664F85">
              <w:rPr>
                <w:webHidden/>
              </w:rPr>
              <w:fldChar w:fldCharType="begin"/>
            </w:r>
            <w:r w:rsidR="00664F85" w:rsidRPr="00664F85">
              <w:rPr>
                <w:webHidden/>
              </w:rPr>
              <w:instrText xml:space="preserve"> PAGEREF _Toc115948285 \h </w:instrText>
            </w:r>
            <w:r w:rsidR="00664F85" w:rsidRPr="00664F85">
              <w:rPr>
                <w:webHidden/>
              </w:rPr>
            </w:r>
            <w:r w:rsidR="00664F85" w:rsidRPr="00664F85">
              <w:rPr>
                <w:webHidden/>
              </w:rPr>
              <w:fldChar w:fldCharType="separate"/>
            </w:r>
            <w:r w:rsidR="00615BAC">
              <w:rPr>
                <w:webHidden/>
              </w:rPr>
              <w:t>6</w:t>
            </w:r>
            <w:r w:rsidR="00664F85" w:rsidRPr="00664F85">
              <w:rPr>
                <w:webHidden/>
              </w:rPr>
              <w:fldChar w:fldCharType="end"/>
            </w:r>
          </w:hyperlink>
        </w:p>
        <w:p w14:paraId="683341D5" w14:textId="2273D6F2" w:rsidR="00664F85" w:rsidRPr="00664F85" w:rsidRDefault="00000000">
          <w:pPr>
            <w:pStyle w:val="TOC2"/>
            <w:rPr>
              <w:rFonts w:ascii="Arial" w:eastAsiaTheme="minorEastAsia" w:hAnsi="Arial" w:cs="Arial"/>
              <w:i w:val="0"/>
              <w:iCs w:val="0"/>
              <w:noProof/>
              <w:sz w:val="22"/>
              <w:szCs w:val="22"/>
              <w:lang w:eastAsia="en-GB"/>
            </w:rPr>
          </w:pPr>
          <w:hyperlink w:anchor="_Toc115948286" w:history="1">
            <w:r w:rsidR="00664F85" w:rsidRPr="00664F85">
              <w:rPr>
                <w:rStyle w:val="Hyperlink"/>
                <w:rFonts w:ascii="Arial" w:hAnsi="Arial" w:cs="Arial"/>
                <w:bCs/>
                <w:noProof/>
              </w:rPr>
              <w:t>8. Insurance</w:t>
            </w:r>
            <w:r w:rsidR="00664F85" w:rsidRPr="00664F85">
              <w:rPr>
                <w:rFonts w:ascii="Arial" w:hAnsi="Arial" w:cs="Arial"/>
                <w:noProof/>
                <w:webHidden/>
              </w:rPr>
              <w:tab/>
            </w:r>
            <w:r w:rsidR="00664F85" w:rsidRPr="00664F85">
              <w:rPr>
                <w:rFonts w:ascii="Arial" w:hAnsi="Arial" w:cs="Arial"/>
                <w:noProof/>
                <w:webHidden/>
              </w:rPr>
              <w:fldChar w:fldCharType="begin"/>
            </w:r>
            <w:r w:rsidR="00664F85" w:rsidRPr="00664F85">
              <w:rPr>
                <w:rFonts w:ascii="Arial" w:hAnsi="Arial" w:cs="Arial"/>
                <w:noProof/>
                <w:webHidden/>
              </w:rPr>
              <w:instrText xml:space="preserve"> PAGEREF _Toc115948286 \h </w:instrText>
            </w:r>
            <w:r w:rsidR="00664F85" w:rsidRPr="00664F85">
              <w:rPr>
                <w:rFonts w:ascii="Arial" w:hAnsi="Arial" w:cs="Arial"/>
                <w:noProof/>
                <w:webHidden/>
              </w:rPr>
            </w:r>
            <w:r w:rsidR="00664F85" w:rsidRPr="00664F85">
              <w:rPr>
                <w:rFonts w:ascii="Arial" w:hAnsi="Arial" w:cs="Arial"/>
                <w:noProof/>
                <w:webHidden/>
              </w:rPr>
              <w:fldChar w:fldCharType="separate"/>
            </w:r>
            <w:r w:rsidR="00615BAC">
              <w:rPr>
                <w:rFonts w:ascii="Arial" w:hAnsi="Arial" w:cs="Arial"/>
                <w:noProof/>
                <w:webHidden/>
              </w:rPr>
              <w:t>6</w:t>
            </w:r>
            <w:r w:rsidR="00664F85" w:rsidRPr="00664F85">
              <w:rPr>
                <w:rFonts w:ascii="Arial" w:hAnsi="Arial" w:cs="Arial"/>
                <w:noProof/>
                <w:webHidden/>
              </w:rPr>
              <w:fldChar w:fldCharType="end"/>
            </w:r>
          </w:hyperlink>
        </w:p>
        <w:p w14:paraId="11718284" w14:textId="6E8A5A4D" w:rsidR="00664F85" w:rsidRPr="00664F85" w:rsidRDefault="00000000">
          <w:pPr>
            <w:pStyle w:val="TOC2"/>
            <w:rPr>
              <w:rFonts w:ascii="Arial" w:eastAsiaTheme="minorEastAsia" w:hAnsi="Arial" w:cs="Arial"/>
              <w:i w:val="0"/>
              <w:iCs w:val="0"/>
              <w:noProof/>
              <w:sz w:val="22"/>
              <w:szCs w:val="22"/>
              <w:lang w:eastAsia="en-GB"/>
            </w:rPr>
          </w:pPr>
          <w:hyperlink w:anchor="_Toc115948287" w:history="1">
            <w:r w:rsidR="00664F85" w:rsidRPr="00664F85">
              <w:rPr>
                <w:rStyle w:val="Hyperlink"/>
                <w:rFonts w:ascii="Arial" w:hAnsi="Arial" w:cs="Arial"/>
                <w:noProof/>
              </w:rPr>
              <w:t>9. Warranties</w:t>
            </w:r>
            <w:r w:rsidR="00664F85" w:rsidRPr="00664F85">
              <w:rPr>
                <w:rFonts w:ascii="Arial" w:hAnsi="Arial" w:cs="Arial"/>
                <w:noProof/>
                <w:webHidden/>
              </w:rPr>
              <w:tab/>
            </w:r>
            <w:r w:rsidR="00664F85" w:rsidRPr="00664F85">
              <w:rPr>
                <w:rFonts w:ascii="Arial" w:hAnsi="Arial" w:cs="Arial"/>
                <w:noProof/>
                <w:webHidden/>
              </w:rPr>
              <w:fldChar w:fldCharType="begin"/>
            </w:r>
            <w:r w:rsidR="00664F85" w:rsidRPr="00664F85">
              <w:rPr>
                <w:rFonts w:ascii="Arial" w:hAnsi="Arial" w:cs="Arial"/>
                <w:noProof/>
                <w:webHidden/>
              </w:rPr>
              <w:instrText xml:space="preserve"> PAGEREF _Toc115948287 \h </w:instrText>
            </w:r>
            <w:r w:rsidR="00664F85" w:rsidRPr="00664F85">
              <w:rPr>
                <w:rFonts w:ascii="Arial" w:hAnsi="Arial" w:cs="Arial"/>
                <w:noProof/>
                <w:webHidden/>
              </w:rPr>
            </w:r>
            <w:r w:rsidR="00664F85" w:rsidRPr="00664F85">
              <w:rPr>
                <w:rFonts w:ascii="Arial" w:hAnsi="Arial" w:cs="Arial"/>
                <w:noProof/>
                <w:webHidden/>
              </w:rPr>
              <w:fldChar w:fldCharType="separate"/>
            </w:r>
            <w:r w:rsidR="00615BAC">
              <w:rPr>
                <w:rFonts w:ascii="Arial" w:hAnsi="Arial" w:cs="Arial"/>
                <w:noProof/>
                <w:webHidden/>
              </w:rPr>
              <w:t>7</w:t>
            </w:r>
            <w:r w:rsidR="00664F85" w:rsidRPr="00664F85">
              <w:rPr>
                <w:rFonts w:ascii="Arial" w:hAnsi="Arial" w:cs="Arial"/>
                <w:noProof/>
                <w:webHidden/>
              </w:rPr>
              <w:fldChar w:fldCharType="end"/>
            </w:r>
          </w:hyperlink>
        </w:p>
        <w:p w14:paraId="4AA8B847" w14:textId="41806772" w:rsidR="00664F85" w:rsidRPr="00664F85" w:rsidRDefault="00000000">
          <w:pPr>
            <w:pStyle w:val="TOC2"/>
            <w:rPr>
              <w:rFonts w:ascii="Arial" w:eastAsiaTheme="minorEastAsia" w:hAnsi="Arial" w:cs="Arial"/>
              <w:i w:val="0"/>
              <w:iCs w:val="0"/>
              <w:noProof/>
              <w:sz w:val="22"/>
              <w:szCs w:val="22"/>
              <w:lang w:eastAsia="en-GB"/>
            </w:rPr>
          </w:pPr>
          <w:hyperlink w:anchor="_Toc115948288" w:history="1">
            <w:r w:rsidR="00664F85" w:rsidRPr="00664F85">
              <w:rPr>
                <w:rStyle w:val="Hyperlink"/>
                <w:rFonts w:ascii="Arial" w:hAnsi="Arial" w:cs="Arial"/>
                <w:noProof/>
              </w:rPr>
              <w:t>10. Dispute resolution (relating to warranties and insurance)</w:t>
            </w:r>
            <w:r w:rsidR="00664F85" w:rsidRPr="00664F85">
              <w:rPr>
                <w:rFonts w:ascii="Arial" w:hAnsi="Arial" w:cs="Arial"/>
                <w:noProof/>
                <w:webHidden/>
              </w:rPr>
              <w:tab/>
            </w:r>
            <w:r w:rsidR="00664F85" w:rsidRPr="00664F85">
              <w:rPr>
                <w:rFonts w:ascii="Arial" w:hAnsi="Arial" w:cs="Arial"/>
                <w:noProof/>
                <w:webHidden/>
              </w:rPr>
              <w:fldChar w:fldCharType="begin"/>
            </w:r>
            <w:r w:rsidR="00664F85" w:rsidRPr="00664F85">
              <w:rPr>
                <w:rFonts w:ascii="Arial" w:hAnsi="Arial" w:cs="Arial"/>
                <w:noProof/>
                <w:webHidden/>
              </w:rPr>
              <w:instrText xml:space="preserve"> PAGEREF _Toc115948288 \h </w:instrText>
            </w:r>
            <w:r w:rsidR="00664F85" w:rsidRPr="00664F85">
              <w:rPr>
                <w:rFonts w:ascii="Arial" w:hAnsi="Arial" w:cs="Arial"/>
                <w:noProof/>
                <w:webHidden/>
              </w:rPr>
            </w:r>
            <w:r w:rsidR="00664F85" w:rsidRPr="00664F85">
              <w:rPr>
                <w:rFonts w:ascii="Arial" w:hAnsi="Arial" w:cs="Arial"/>
                <w:noProof/>
                <w:webHidden/>
              </w:rPr>
              <w:fldChar w:fldCharType="separate"/>
            </w:r>
            <w:r w:rsidR="00615BAC">
              <w:rPr>
                <w:rFonts w:ascii="Arial" w:hAnsi="Arial" w:cs="Arial"/>
                <w:noProof/>
                <w:webHidden/>
              </w:rPr>
              <w:t>8</w:t>
            </w:r>
            <w:r w:rsidR="00664F85" w:rsidRPr="00664F85">
              <w:rPr>
                <w:rFonts w:ascii="Arial" w:hAnsi="Arial" w:cs="Arial"/>
                <w:noProof/>
                <w:webHidden/>
              </w:rPr>
              <w:fldChar w:fldCharType="end"/>
            </w:r>
          </w:hyperlink>
        </w:p>
        <w:p w14:paraId="45B249B8" w14:textId="4A4AA5C0" w:rsidR="00664F85" w:rsidRPr="00664F85" w:rsidRDefault="00000000">
          <w:pPr>
            <w:pStyle w:val="TOC2"/>
            <w:rPr>
              <w:rFonts w:ascii="Arial" w:eastAsiaTheme="minorEastAsia" w:hAnsi="Arial" w:cs="Arial"/>
              <w:i w:val="0"/>
              <w:iCs w:val="0"/>
              <w:noProof/>
              <w:sz w:val="22"/>
              <w:szCs w:val="22"/>
              <w:lang w:eastAsia="en-GB"/>
            </w:rPr>
          </w:pPr>
          <w:hyperlink w:anchor="_Toc115948289" w:history="1">
            <w:r w:rsidR="00664F85" w:rsidRPr="00664F85">
              <w:rPr>
                <w:rStyle w:val="Hyperlink"/>
                <w:rFonts w:ascii="Arial" w:hAnsi="Arial" w:cs="Arial"/>
                <w:noProof/>
              </w:rPr>
              <w:t>11. Pursuing third parties</w:t>
            </w:r>
            <w:r w:rsidR="00664F85" w:rsidRPr="00664F85">
              <w:rPr>
                <w:rFonts w:ascii="Arial" w:hAnsi="Arial" w:cs="Arial"/>
                <w:noProof/>
                <w:webHidden/>
              </w:rPr>
              <w:tab/>
            </w:r>
            <w:r w:rsidR="00664F85" w:rsidRPr="00664F85">
              <w:rPr>
                <w:rFonts w:ascii="Arial" w:hAnsi="Arial" w:cs="Arial"/>
                <w:noProof/>
                <w:webHidden/>
              </w:rPr>
              <w:fldChar w:fldCharType="begin"/>
            </w:r>
            <w:r w:rsidR="00664F85" w:rsidRPr="00664F85">
              <w:rPr>
                <w:rFonts w:ascii="Arial" w:hAnsi="Arial" w:cs="Arial"/>
                <w:noProof/>
                <w:webHidden/>
              </w:rPr>
              <w:instrText xml:space="preserve"> PAGEREF _Toc115948289 \h </w:instrText>
            </w:r>
            <w:r w:rsidR="00664F85" w:rsidRPr="00664F85">
              <w:rPr>
                <w:rFonts w:ascii="Arial" w:hAnsi="Arial" w:cs="Arial"/>
                <w:noProof/>
                <w:webHidden/>
              </w:rPr>
            </w:r>
            <w:r w:rsidR="00664F85" w:rsidRPr="00664F85">
              <w:rPr>
                <w:rFonts w:ascii="Arial" w:hAnsi="Arial" w:cs="Arial"/>
                <w:noProof/>
                <w:webHidden/>
              </w:rPr>
              <w:fldChar w:fldCharType="separate"/>
            </w:r>
            <w:r w:rsidR="00615BAC">
              <w:rPr>
                <w:rFonts w:ascii="Arial" w:hAnsi="Arial" w:cs="Arial"/>
                <w:noProof/>
                <w:webHidden/>
              </w:rPr>
              <w:t>9</w:t>
            </w:r>
            <w:r w:rsidR="00664F85" w:rsidRPr="00664F85">
              <w:rPr>
                <w:rFonts w:ascii="Arial" w:hAnsi="Arial" w:cs="Arial"/>
                <w:noProof/>
                <w:webHidden/>
              </w:rPr>
              <w:fldChar w:fldCharType="end"/>
            </w:r>
          </w:hyperlink>
        </w:p>
        <w:p w14:paraId="63C2EE16" w14:textId="6311DD80" w:rsidR="00664F85" w:rsidRPr="00664F85" w:rsidRDefault="00000000">
          <w:pPr>
            <w:pStyle w:val="TOC2"/>
            <w:rPr>
              <w:rFonts w:ascii="Arial" w:eastAsiaTheme="minorEastAsia" w:hAnsi="Arial" w:cs="Arial"/>
              <w:i w:val="0"/>
              <w:iCs w:val="0"/>
              <w:noProof/>
              <w:sz w:val="22"/>
              <w:szCs w:val="22"/>
              <w:lang w:eastAsia="en-GB"/>
            </w:rPr>
          </w:pPr>
          <w:hyperlink w:anchor="_Toc115948290" w:history="1">
            <w:r w:rsidR="00664F85" w:rsidRPr="00664F85">
              <w:rPr>
                <w:rStyle w:val="Hyperlink"/>
                <w:rFonts w:ascii="Arial" w:hAnsi="Arial" w:cs="Arial"/>
                <w:noProof/>
              </w:rPr>
              <w:t>12. Government grants and funding</w:t>
            </w:r>
            <w:r w:rsidR="00664F85" w:rsidRPr="00664F85">
              <w:rPr>
                <w:rFonts w:ascii="Arial" w:hAnsi="Arial" w:cs="Arial"/>
                <w:noProof/>
                <w:webHidden/>
              </w:rPr>
              <w:tab/>
            </w:r>
            <w:r w:rsidR="00664F85" w:rsidRPr="00664F85">
              <w:rPr>
                <w:rFonts w:ascii="Arial" w:hAnsi="Arial" w:cs="Arial"/>
                <w:noProof/>
                <w:webHidden/>
              </w:rPr>
              <w:fldChar w:fldCharType="begin"/>
            </w:r>
            <w:r w:rsidR="00664F85" w:rsidRPr="00664F85">
              <w:rPr>
                <w:rFonts w:ascii="Arial" w:hAnsi="Arial" w:cs="Arial"/>
                <w:noProof/>
                <w:webHidden/>
              </w:rPr>
              <w:instrText xml:space="preserve"> PAGEREF _Toc115948290 \h </w:instrText>
            </w:r>
            <w:r w:rsidR="00664F85" w:rsidRPr="00664F85">
              <w:rPr>
                <w:rFonts w:ascii="Arial" w:hAnsi="Arial" w:cs="Arial"/>
                <w:noProof/>
                <w:webHidden/>
              </w:rPr>
            </w:r>
            <w:r w:rsidR="00664F85" w:rsidRPr="00664F85">
              <w:rPr>
                <w:rFonts w:ascii="Arial" w:hAnsi="Arial" w:cs="Arial"/>
                <w:noProof/>
                <w:webHidden/>
              </w:rPr>
              <w:fldChar w:fldCharType="separate"/>
            </w:r>
            <w:r w:rsidR="00615BAC">
              <w:rPr>
                <w:rFonts w:ascii="Arial" w:hAnsi="Arial" w:cs="Arial"/>
                <w:noProof/>
                <w:webHidden/>
              </w:rPr>
              <w:t>11</w:t>
            </w:r>
            <w:r w:rsidR="00664F85" w:rsidRPr="00664F85">
              <w:rPr>
                <w:rFonts w:ascii="Arial" w:hAnsi="Arial" w:cs="Arial"/>
                <w:noProof/>
                <w:webHidden/>
              </w:rPr>
              <w:fldChar w:fldCharType="end"/>
            </w:r>
          </w:hyperlink>
        </w:p>
        <w:p w14:paraId="48349E74" w14:textId="7F274B76" w:rsidR="00664F85" w:rsidRPr="00664F85" w:rsidRDefault="00000000">
          <w:pPr>
            <w:pStyle w:val="TOC1"/>
            <w:rPr>
              <w:rFonts w:eastAsiaTheme="minorEastAsia"/>
              <w:b w:val="0"/>
              <w:bCs w:val="0"/>
              <w:sz w:val="22"/>
              <w:szCs w:val="22"/>
              <w:lang w:eastAsia="en-GB"/>
            </w:rPr>
          </w:pPr>
          <w:hyperlink w:anchor="_Toc115948291" w:history="1">
            <w:r w:rsidR="00664F85" w:rsidRPr="00664F85">
              <w:rPr>
                <w:rStyle w:val="Hyperlink"/>
              </w:rPr>
              <w:t>Other duties</w:t>
            </w:r>
            <w:r w:rsidR="00664F85" w:rsidRPr="00664F85">
              <w:rPr>
                <w:webHidden/>
              </w:rPr>
              <w:tab/>
            </w:r>
            <w:r w:rsidR="00664F85" w:rsidRPr="00664F85">
              <w:rPr>
                <w:webHidden/>
              </w:rPr>
              <w:fldChar w:fldCharType="begin"/>
            </w:r>
            <w:r w:rsidR="00664F85" w:rsidRPr="00664F85">
              <w:rPr>
                <w:webHidden/>
              </w:rPr>
              <w:instrText xml:space="preserve"> PAGEREF _Toc115948291 \h </w:instrText>
            </w:r>
            <w:r w:rsidR="00664F85" w:rsidRPr="00664F85">
              <w:rPr>
                <w:webHidden/>
              </w:rPr>
            </w:r>
            <w:r w:rsidR="00664F85" w:rsidRPr="00664F85">
              <w:rPr>
                <w:webHidden/>
              </w:rPr>
              <w:fldChar w:fldCharType="separate"/>
            </w:r>
            <w:r w:rsidR="00615BAC">
              <w:rPr>
                <w:webHidden/>
              </w:rPr>
              <w:t>12</w:t>
            </w:r>
            <w:r w:rsidR="00664F85" w:rsidRPr="00664F85">
              <w:rPr>
                <w:webHidden/>
              </w:rPr>
              <w:fldChar w:fldCharType="end"/>
            </w:r>
          </w:hyperlink>
        </w:p>
        <w:p w14:paraId="25AFA787" w14:textId="0888A52B" w:rsidR="00664F85" w:rsidRPr="00664F85" w:rsidRDefault="00000000">
          <w:pPr>
            <w:pStyle w:val="TOC2"/>
            <w:rPr>
              <w:rFonts w:ascii="Arial" w:eastAsiaTheme="minorEastAsia" w:hAnsi="Arial" w:cs="Arial"/>
              <w:i w:val="0"/>
              <w:iCs w:val="0"/>
              <w:noProof/>
              <w:sz w:val="22"/>
              <w:szCs w:val="22"/>
              <w:lang w:eastAsia="en-GB"/>
            </w:rPr>
          </w:pPr>
          <w:hyperlink w:anchor="_Toc115948292" w:history="1">
            <w:r w:rsidR="00664F85" w:rsidRPr="00664F85">
              <w:rPr>
                <w:rStyle w:val="Hyperlink"/>
                <w:rFonts w:ascii="Arial" w:hAnsi="Arial" w:cs="Arial"/>
                <w:bCs/>
                <w:noProof/>
              </w:rPr>
              <w:t xml:space="preserve">13. Information </w:t>
            </w:r>
            <w:r w:rsidR="00664F85" w:rsidRPr="00664F85">
              <w:rPr>
                <w:rStyle w:val="Hyperlink"/>
                <w:rFonts w:ascii="Arial" w:hAnsi="Arial" w:cs="Arial"/>
                <w:noProof/>
              </w:rPr>
              <w:t>provision</w:t>
            </w:r>
            <w:r w:rsidR="00664F85" w:rsidRPr="00664F85">
              <w:rPr>
                <w:rFonts w:ascii="Arial" w:hAnsi="Arial" w:cs="Arial"/>
                <w:noProof/>
                <w:webHidden/>
              </w:rPr>
              <w:tab/>
            </w:r>
            <w:r w:rsidR="00664F85" w:rsidRPr="00664F85">
              <w:rPr>
                <w:rFonts w:ascii="Arial" w:hAnsi="Arial" w:cs="Arial"/>
                <w:noProof/>
                <w:webHidden/>
              </w:rPr>
              <w:fldChar w:fldCharType="begin"/>
            </w:r>
            <w:r w:rsidR="00664F85" w:rsidRPr="00664F85">
              <w:rPr>
                <w:rFonts w:ascii="Arial" w:hAnsi="Arial" w:cs="Arial"/>
                <w:noProof/>
                <w:webHidden/>
              </w:rPr>
              <w:instrText xml:space="preserve"> PAGEREF _Toc115948292 \h </w:instrText>
            </w:r>
            <w:r w:rsidR="00664F85" w:rsidRPr="00664F85">
              <w:rPr>
                <w:rFonts w:ascii="Arial" w:hAnsi="Arial" w:cs="Arial"/>
                <w:noProof/>
                <w:webHidden/>
              </w:rPr>
            </w:r>
            <w:r w:rsidR="00664F85" w:rsidRPr="00664F85">
              <w:rPr>
                <w:rFonts w:ascii="Arial" w:hAnsi="Arial" w:cs="Arial"/>
                <w:noProof/>
                <w:webHidden/>
              </w:rPr>
              <w:fldChar w:fldCharType="separate"/>
            </w:r>
            <w:r w:rsidR="00615BAC">
              <w:rPr>
                <w:rFonts w:ascii="Arial" w:hAnsi="Arial" w:cs="Arial"/>
                <w:noProof/>
                <w:webHidden/>
              </w:rPr>
              <w:t>12</w:t>
            </w:r>
            <w:r w:rsidR="00664F85" w:rsidRPr="00664F85">
              <w:rPr>
                <w:rFonts w:ascii="Arial" w:hAnsi="Arial" w:cs="Arial"/>
                <w:noProof/>
                <w:webHidden/>
              </w:rPr>
              <w:fldChar w:fldCharType="end"/>
            </w:r>
          </w:hyperlink>
        </w:p>
        <w:p w14:paraId="5EBAA249" w14:textId="37AEC208" w:rsidR="00664F85" w:rsidRPr="00664F85" w:rsidRDefault="00000000">
          <w:pPr>
            <w:pStyle w:val="TOC2"/>
            <w:rPr>
              <w:rFonts w:ascii="Arial" w:eastAsiaTheme="minorEastAsia" w:hAnsi="Arial" w:cs="Arial"/>
              <w:i w:val="0"/>
              <w:iCs w:val="0"/>
              <w:noProof/>
              <w:sz w:val="22"/>
              <w:szCs w:val="22"/>
              <w:lang w:eastAsia="en-GB"/>
            </w:rPr>
          </w:pPr>
          <w:hyperlink w:anchor="_Toc115948293" w:history="1">
            <w:r w:rsidR="00664F85" w:rsidRPr="00664F85">
              <w:rPr>
                <w:rStyle w:val="Hyperlink"/>
                <w:rFonts w:ascii="Arial" w:hAnsi="Arial" w:cs="Arial"/>
                <w:noProof/>
              </w:rPr>
              <w:t>14. Carrying out notifiable building work in existing buildings</w:t>
            </w:r>
            <w:r w:rsidR="00664F85" w:rsidRPr="00664F85">
              <w:rPr>
                <w:rFonts w:ascii="Arial" w:hAnsi="Arial" w:cs="Arial"/>
                <w:noProof/>
                <w:webHidden/>
              </w:rPr>
              <w:tab/>
            </w:r>
            <w:r w:rsidR="00664F85" w:rsidRPr="00664F85">
              <w:rPr>
                <w:rFonts w:ascii="Arial" w:hAnsi="Arial" w:cs="Arial"/>
                <w:noProof/>
                <w:webHidden/>
              </w:rPr>
              <w:fldChar w:fldCharType="begin"/>
            </w:r>
            <w:r w:rsidR="00664F85" w:rsidRPr="00664F85">
              <w:rPr>
                <w:rFonts w:ascii="Arial" w:hAnsi="Arial" w:cs="Arial"/>
                <w:noProof/>
                <w:webHidden/>
              </w:rPr>
              <w:instrText xml:space="preserve"> PAGEREF _Toc115948293 \h </w:instrText>
            </w:r>
            <w:r w:rsidR="00664F85" w:rsidRPr="00664F85">
              <w:rPr>
                <w:rFonts w:ascii="Arial" w:hAnsi="Arial" w:cs="Arial"/>
                <w:noProof/>
                <w:webHidden/>
              </w:rPr>
            </w:r>
            <w:r w:rsidR="00664F85" w:rsidRPr="00664F85">
              <w:rPr>
                <w:rFonts w:ascii="Arial" w:hAnsi="Arial" w:cs="Arial"/>
                <w:noProof/>
                <w:webHidden/>
              </w:rPr>
              <w:fldChar w:fldCharType="separate"/>
            </w:r>
            <w:r w:rsidR="00615BAC">
              <w:rPr>
                <w:rFonts w:ascii="Arial" w:hAnsi="Arial" w:cs="Arial"/>
                <w:noProof/>
                <w:webHidden/>
              </w:rPr>
              <w:t>12</w:t>
            </w:r>
            <w:r w:rsidR="00664F85" w:rsidRPr="00664F85">
              <w:rPr>
                <w:rFonts w:ascii="Arial" w:hAnsi="Arial" w:cs="Arial"/>
                <w:noProof/>
                <w:webHidden/>
              </w:rPr>
              <w:fldChar w:fldCharType="end"/>
            </w:r>
          </w:hyperlink>
        </w:p>
        <w:p w14:paraId="38F0A5DC" w14:textId="79BFD035" w:rsidR="00664F85" w:rsidRPr="00664F85" w:rsidRDefault="00000000">
          <w:pPr>
            <w:pStyle w:val="TOC2"/>
            <w:rPr>
              <w:rFonts w:ascii="Arial" w:eastAsiaTheme="minorEastAsia" w:hAnsi="Arial" w:cs="Arial"/>
              <w:i w:val="0"/>
              <w:iCs w:val="0"/>
              <w:noProof/>
              <w:sz w:val="22"/>
              <w:szCs w:val="22"/>
              <w:lang w:eastAsia="en-GB"/>
            </w:rPr>
          </w:pPr>
          <w:hyperlink w:anchor="_Toc115948294" w:history="1">
            <w:r w:rsidR="00664F85" w:rsidRPr="00664F85">
              <w:rPr>
                <w:rStyle w:val="Hyperlink"/>
                <w:rFonts w:ascii="Arial" w:hAnsi="Arial" w:cs="Arial"/>
                <w:bCs/>
                <w:noProof/>
              </w:rPr>
              <w:t>15. Other relevant legislation</w:t>
            </w:r>
            <w:r w:rsidR="00664F85" w:rsidRPr="00664F85">
              <w:rPr>
                <w:rFonts w:ascii="Arial" w:hAnsi="Arial" w:cs="Arial"/>
                <w:noProof/>
                <w:webHidden/>
              </w:rPr>
              <w:tab/>
            </w:r>
            <w:r w:rsidR="00664F85" w:rsidRPr="00664F85">
              <w:rPr>
                <w:rFonts w:ascii="Arial" w:hAnsi="Arial" w:cs="Arial"/>
                <w:noProof/>
                <w:webHidden/>
              </w:rPr>
              <w:fldChar w:fldCharType="begin"/>
            </w:r>
            <w:r w:rsidR="00664F85" w:rsidRPr="00664F85">
              <w:rPr>
                <w:rFonts w:ascii="Arial" w:hAnsi="Arial" w:cs="Arial"/>
                <w:noProof/>
                <w:webHidden/>
              </w:rPr>
              <w:instrText xml:space="preserve"> PAGEREF _Toc115948294 \h </w:instrText>
            </w:r>
            <w:r w:rsidR="00664F85" w:rsidRPr="00664F85">
              <w:rPr>
                <w:rFonts w:ascii="Arial" w:hAnsi="Arial" w:cs="Arial"/>
                <w:noProof/>
                <w:webHidden/>
              </w:rPr>
            </w:r>
            <w:r w:rsidR="00664F85" w:rsidRPr="00664F85">
              <w:rPr>
                <w:rFonts w:ascii="Arial" w:hAnsi="Arial" w:cs="Arial"/>
                <w:noProof/>
                <w:webHidden/>
              </w:rPr>
              <w:fldChar w:fldCharType="separate"/>
            </w:r>
            <w:r w:rsidR="00615BAC">
              <w:rPr>
                <w:rFonts w:ascii="Arial" w:hAnsi="Arial" w:cs="Arial"/>
                <w:noProof/>
                <w:webHidden/>
              </w:rPr>
              <w:t>13</w:t>
            </w:r>
            <w:r w:rsidR="00664F85" w:rsidRPr="00664F85">
              <w:rPr>
                <w:rFonts w:ascii="Arial" w:hAnsi="Arial" w:cs="Arial"/>
                <w:noProof/>
                <w:webHidden/>
              </w:rPr>
              <w:fldChar w:fldCharType="end"/>
            </w:r>
          </w:hyperlink>
        </w:p>
        <w:p w14:paraId="1CEB1280" w14:textId="0317AC83" w:rsidR="00D96CA6" w:rsidRPr="00630463" w:rsidRDefault="001A3B53">
          <w:pPr>
            <w:rPr>
              <w:rFonts w:ascii="Arial" w:hAnsi="Arial" w:cs="Arial"/>
            </w:rPr>
          </w:pPr>
          <w:r w:rsidRPr="00664F85">
            <w:rPr>
              <w:rFonts w:ascii="Arial" w:hAnsi="Arial" w:cs="Arial"/>
              <w:b/>
              <w:bCs/>
              <w:caps/>
              <w:sz w:val="24"/>
              <w:szCs w:val="24"/>
            </w:rPr>
            <w:fldChar w:fldCharType="end"/>
          </w:r>
        </w:p>
      </w:sdtContent>
    </w:sdt>
    <w:p w14:paraId="66E5BBFF" w14:textId="77777777" w:rsidR="00D96CA6" w:rsidRPr="00994975" w:rsidRDefault="00D96CA6" w:rsidP="00994975"/>
    <w:p w14:paraId="238F4217" w14:textId="77777777" w:rsidR="00177F72" w:rsidRDefault="00177F72" w:rsidP="00994975"/>
    <w:p w14:paraId="4804533B" w14:textId="77777777" w:rsidR="00664F85" w:rsidRDefault="00664F85" w:rsidP="00994975"/>
    <w:p w14:paraId="00A0EFEB" w14:textId="6FD9655D" w:rsidR="00A26073" w:rsidRPr="00994975" w:rsidRDefault="0071756C" w:rsidP="00320998">
      <w:pPr>
        <w:pStyle w:val="Heading1"/>
        <w:rPr>
          <w:rStyle w:val="normaltextrun"/>
        </w:rPr>
      </w:pPr>
      <w:bookmarkStart w:id="0" w:name="_Toc109832428"/>
      <w:bookmarkStart w:id="1" w:name="_Toc115948276"/>
      <w:r w:rsidRPr="00A3359F">
        <w:rPr>
          <w:rStyle w:val="normaltextrun"/>
        </w:rPr>
        <w:lastRenderedPageBreak/>
        <w:t>I</w:t>
      </w:r>
      <w:r w:rsidR="00A26073" w:rsidRPr="00A3359F">
        <w:rPr>
          <w:rStyle w:val="normaltextrun"/>
        </w:rPr>
        <w:t xml:space="preserve">ntroduction to this </w:t>
      </w:r>
      <w:bookmarkEnd w:id="0"/>
      <w:r w:rsidR="00316198" w:rsidRPr="00994975">
        <w:rPr>
          <w:rStyle w:val="normaltextrun"/>
        </w:rPr>
        <w:t>guidance</w:t>
      </w:r>
      <w:bookmarkEnd w:id="1"/>
      <w:r w:rsidR="00316198" w:rsidRPr="00994975">
        <w:rPr>
          <w:rStyle w:val="normaltextrun"/>
        </w:rPr>
        <w:tab/>
      </w:r>
    </w:p>
    <w:p w14:paraId="3DAFFEDB" w14:textId="77777777" w:rsidR="007B4B56" w:rsidRPr="00724915" w:rsidRDefault="007B4B56" w:rsidP="00724915">
      <w:pPr>
        <w:pStyle w:val="NoSpacing"/>
        <w:rPr>
          <w:rStyle w:val="normaltextrun"/>
        </w:rPr>
      </w:pPr>
    </w:p>
    <w:p w14:paraId="60DE8995" w14:textId="097FFEA4" w:rsidR="007E573A" w:rsidRPr="00525543" w:rsidRDefault="00703B45" w:rsidP="00724915">
      <w:pPr>
        <w:pStyle w:val="Heading2"/>
        <w:numPr>
          <w:ilvl w:val="0"/>
          <w:numId w:val="0"/>
        </w:numPr>
        <w:ind w:left="754" w:hanging="612"/>
        <w:rPr>
          <w:rStyle w:val="normaltextrun"/>
        </w:rPr>
      </w:pPr>
      <w:bookmarkStart w:id="2" w:name="_Toc109832429"/>
      <w:bookmarkStart w:id="3" w:name="_Toc115948277"/>
      <w:r>
        <w:rPr>
          <w:rStyle w:val="normaltextrun"/>
        </w:rPr>
        <w:t xml:space="preserve">1. </w:t>
      </w:r>
      <w:r w:rsidR="003F1F28" w:rsidRPr="00994975">
        <w:rPr>
          <w:rStyle w:val="normaltextrun"/>
        </w:rPr>
        <w:t>Summary</w:t>
      </w:r>
      <w:bookmarkEnd w:id="2"/>
      <w:bookmarkEnd w:id="3"/>
      <w:r w:rsidR="00CF5E9A" w:rsidRPr="00525543">
        <w:rPr>
          <w:rStyle w:val="normaltextrun"/>
        </w:rPr>
        <w:t xml:space="preserve"> </w:t>
      </w:r>
      <w:bookmarkStart w:id="4" w:name="_Toc109832430"/>
    </w:p>
    <w:p w14:paraId="1D6C6CF2" w14:textId="518EFFF8" w:rsidR="009B2916" w:rsidRPr="0078108E" w:rsidRDefault="009B5488" w:rsidP="00633473">
      <w:pPr>
        <w:pStyle w:val="StatutoryGuidanceMainText"/>
        <w:numPr>
          <w:ilvl w:val="1"/>
          <w:numId w:val="9"/>
        </w:numPr>
        <w:ind w:left="737" w:hanging="595"/>
        <w:rPr>
          <w:rStyle w:val="normaltextrun"/>
          <w:b/>
        </w:rPr>
      </w:pPr>
      <w:r w:rsidRPr="00284A52">
        <w:t xml:space="preserve">Section 133 of the </w:t>
      </w:r>
      <w:hyperlink r:id="rId11">
        <w:r>
          <w:rPr>
            <w:rStyle w:val="Hyperlink"/>
            <w:color w:val="0000FF"/>
          </w:rPr>
          <w:t>Building Safety Act 2022</w:t>
        </w:r>
      </w:hyperlink>
      <w:r w:rsidRPr="00B35BE2">
        <w:rPr>
          <w:rStyle w:val="normaltextrun"/>
        </w:rPr>
        <w:t xml:space="preserve"> amends the existing section 20 consultation process in the</w:t>
      </w:r>
      <w:r w:rsidRPr="00284A52">
        <w:rPr>
          <w:rStyle w:val="normaltextrun"/>
          <w:color w:val="0000FF"/>
        </w:rPr>
        <w:t xml:space="preserve"> </w:t>
      </w:r>
      <w:hyperlink r:id="rId12" w:history="1">
        <w:r w:rsidRPr="009E52D1">
          <w:rPr>
            <w:rStyle w:val="Hyperlink"/>
            <w:color w:val="0000FF"/>
          </w:rPr>
          <w:t>Landlord and Tenant Act 1985</w:t>
        </w:r>
      </w:hyperlink>
      <w:r>
        <w:rPr>
          <w:rStyle w:val="normaltextrun"/>
        </w:rPr>
        <w:t xml:space="preserve">. </w:t>
      </w:r>
      <w:r w:rsidR="00485B23">
        <w:rPr>
          <w:rStyle w:val="normaltextrun"/>
        </w:rPr>
        <w:t>It</w:t>
      </w:r>
      <w:r w:rsidR="00882A7C">
        <w:rPr>
          <w:rStyle w:val="normaltextrun"/>
        </w:rPr>
        <w:t xml:space="preserve"> insert</w:t>
      </w:r>
      <w:r w:rsidR="00485B23">
        <w:rPr>
          <w:rStyle w:val="normaltextrun"/>
        </w:rPr>
        <w:t>s</w:t>
      </w:r>
      <w:r w:rsidR="00882A7C">
        <w:rPr>
          <w:rStyle w:val="normaltextrun"/>
        </w:rPr>
        <w:t xml:space="preserve"> new </w:t>
      </w:r>
      <w:r w:rsidR="00BD4665">
        <w:rPr>
          <w:rStyle w:val="normaltextrun"/>
        </w:rPr>
        <w:t>section 20D which requires that</w:t>
      </w:r>
      <w:bookmarkStart w:id="5" w:name="_Toc109832431"/>
      <w:r w:rsidR="00485B23">
        <w:t>,</w:t>
      </w:r>
      <w:r w:rsidR="00BF4833">
        <w:t xml:space="preserve"> </w:t>
      </w:r>
      <w:bookmarkEnd w:id="5"/>
      <w:r w:rsidR="002D6B88">
        <w:rPr>
          <w:rStyle w:val="normaltextrun"/>
        </w:rPr>
        <w:t>w</w:t>
      </w:r>
      <w:r w:rsidR="00F25E0F">
        <w:rPr>
          <w:rStyle w:val="normaltextrun"/>
        </w:rPr>
        <w:t xml:space="preserve">here landlords </w:t>
      </w:r>
      <w:proofErr w:type="gramStart"/>
      <w:r w:rsidR="00F25E0F">
        <w:rPr>
          <w:rStyle w:val="normaltextrun"/>
        </w:rPr>
        <w:t>are able to</w:t>
      </w:r>
      <w:proofErr w:type="gramEnd"/>
      <w:r w:rsidR="00F25E0F">
        <w:rPr>
          <w:rStyle w:val="normaltextrun"/>
        </w:rPr>
        <w:t xml:space="preserve"> pass </w:t>
      </w:r>
      <w:r w:rsidR="00882A7C">
        <w:rPr>
          <w:rStyle w:val="normaltextrun"/>
        </w:rPr>
        <w:t xml:space="preserve">remediation </w:t>
      </w:r>
      <w:r w:rsidR="00F25E0F" w:rsidRPr="2EAB9085">
        <w:rPr>
          <w:rStyle w:val="normaltextrun"/>
        </w:rPr>
        <w:t xml:space="preserve">costs </w:t>
      </w:r>
      <w:r w:rsidR="00F25E0F">
        <w:rPr>
          <w:rStyle w:val="normaltextrun"/>
        </w:rPr>
        <w:t>on</w:t>
      </w:r>
      <w:r w:rsidR="00882A7C">
        <w:rPr>
          <w:rStyle w:val="normaltextrun"/>
        </w:rPr>
        <w:t>to leaseholders</w:t>
      </w:r>
      <w:r w:rsidR="00F25E0F">
        <w:rPr>
          <w:rStyle w:val="normaltextrun"/>
        </w:rPr>
        <w:t xml:space="preserve">, </w:t>
      </w:r>
      <w:r w:rsidR="00BD4665">
        <w:rPr>
          <w:rStyle w:val="normaltextrun"/>
        </w:rPr>
        <w:t xml:space="preserve">they </w:t>
      </w:r>
      <w:r w:rsidR="001D30A1">
        <w:rPr>
          <w:rStyle w:val="normaltextrun"/>
        </w:rPr>
        <w:t>must</w:t>
      </w:r>
      <w:r w:rsidR="00F25E0F">
        <w:rPr>
          <w:rStyle w:val="normaltextrun"/>
        </w:rPr>
        <w:t xml:space="preserve"> </w:t>
      </w:r>
      <w:r w:rsidR="00F25E0F" w:rsidRPr="00331387">
        <w:rPr>
          <w:rStyle w:val="normaltextrun"/>
        </w:rPr>
        <w:t xml:space="preserve">take reasonable steps to </w:t>
      </w:r>
      <w:r w:rsidR="007972A1" w:rsidRPr="00331387">
        <w:rPr>
          <w:rStyle w:val="normaltextrun"/>
        </w:rPr>
        <w:t xml:space="preserve">ensure that they </w:t>
      </w:r>
      <w:r w:rsidR="007972A1">
        <w:rPr>
          <w:rStyle w:val="normaltextrun"/>
        </w:rPr>
        <w:t xml:space="preserve">have </w:t>
      </w:r>
      <w:r w:rsidR="007972A1" w:rsidRPr="00331387">
        <w:rPr>
          <w:rStyle w:val="normaltextrun"/>
        </w:rPr>
        <w:t>explore</w:t>
      </w:r>
      <w:r w:rsidR="007972A1">
        <w:rPr>
          <w:rStyle w:val="normaltextrun"/>
        </w:rPr>
        <w:t>d</w:t>
      </w:r>
      <w:r w:rsidR="007972A1" w:rsidRPr="00331387">
        <w:rPr>
          <w:rStyle w:val="normaltextrun"/>
        </w:rPr>
        <w:t xml:space="preserve"> all alternative cost recovery avenues</w:t>
      </w:r>
      <w:r w:rsidR="001D30A1">
        <w:rPr>
          <w:rStyle w:val="normaltextrun"/>
        </w:rPr>
        <w:t xml:space="preserve"> before asking leaseholders to contribute funds. </w:t>
      </w:r>
      <w:bookmarkStart w:id="6" w:name="_Toc111414946"/>
      <w:bookmarkEnd w:id="4"/>
    </w:p>
    <w:p w14:paraId="0047B434" w14:textId="33C5D0CA" w:rsidR="0078108E" w:rsidRPr="0078108E" w:rsidRDefault="0078108E" w:rsidP="00724915">
      <w:pPr>
        <w:pStyle w:val="NoSpacing"/>
        <w:rPr>
          <w:rStyle w:val="normaltextrun"/>
        </w:rPr>
      </w:pPr>
    </w:p>
    <w:p w14:paraId="177F73AA" w14:textId="461D831C" w:rsidR="009C30DF" w:rsidRDefault="009C30DF" w:rsidP="00724915">
      <w:pPr>
        <w:pStyle w:val="Heading2"/>
        <w:numPr>
          <w:ilvl w:val="0"/>
          <w:numId w:val="0"/>
        </w:numPr>
        <w:ind w:left="754" w:hanging="612"/>
        <w:rPr>
          <w:rStyle w:val="normaltextrun"/>
        </w:rPr>
      </w:pPr>
      <w:bookmarkStart w:id="7" w:name="_Toc115948278"/>
      <w:bookmarkEnd w:id="6"/>
      <w:r>
        <w:rPr>
          <w:rStyle w:val="normaltextrun"/>
        </w:rPr>
        <w:t xml:space="preserve">2. </w:t>
      </w:r>
      <w:r w:rsidRPr="00994975">
        <w:rPr>
          <w:rStyle w:val="normaltextrun"/>
        </w:rPr>
        <w:t>Purpose of this guidance</w:t>
      </w:r>
      <w:bookmarkEnd w:id="7"/>
      <w:r>
        <w:rPr>
          <w:rStyle w:val="normaltextrun"/>
        </w:rPr>
        <w:t xml:space="preserve"> </w:t>
      </w:r>
    </w:p>
    <w:p w14:paraId="7E9382B2" w14:textId="0F11105F" w:rsidR="002C7832" w:rsidRPr="002654CC" w:rsidRDefault="00322388" w:rsidP="00633473">
      <w:pPr>
        <w:pStyle w:val="StatutoryGuidanceMainText"/>
        <w:numPr>
          <w:ilvl w:val="1"/>
          <w:numId w:val="10"/>
        </w:numPr>
        <w:ind w:left="737" w:hanging="595"/>
        <w:rPr>
          <w:rStyle w:val="normaltextrun"/>
        </w:rPr>
      </w:pPr>
      <w:r w:rsidRPr="002654CC">
        <w:rPr>
          <w:rStyle w:val="normaltextrun"/>
        </w:rPr>
        <w:t>The First-tier Tribunal may have regard to the statutory guidance</w:t>
      </w:r>
      <w:r w:rsidR="00A649D6" w:rsidRPr="002654CC">
        <w:rPr>
          <w:rStyle w:val="normaltextrun"/>
        </w:rPr>
        <w:t xml:space="preserve"> </w:t>
      </w:r>
      <w:r w:rsidR="0C1ACB8A" w:rsidRPr="002654CC">
        <w:rPr>
          <w:rStyle w:val="normaltextrun"/>
        </w:rPr>
        <w:t>when</w:t>
      </w:r>
      <w:r w:rsidR="0031120B" w:rsidRPr="002654CC">
        <w:rPr>
          <w:rStyle w:val="normaltextrun"/>
        </w:rPr>
        <w:t xml:space="preserve"> determin</w:t>
      </w:r>
      <w:r w:rsidR="73D7504C" w:rsidRPr="002654CC">
        <w:rPr>
          <w:rStyle w:val="normaltextrun"/>
        </w:rPr>
        <w:t>ing</w:t>
      </w:r>
      <w:r w:rsidR="00A649D6" w:rsidRPr="002654CC">
        <w:rPr>
          <w:rStyle w:val="normaltextrun"/>
        </w:rPr>
        <w:t xml:space="preserve"> whether a landlord has complied with</w:t>
      </w:r>
      <w:r w:rsidR="0031120B" w:rsidRPr="002654CC">
        <w:rPr>
          <w:rStyle w:val="normaltextrun"/>
        </w:rPr>
        <w:t>,</w:t>
      </w:r>
      <w:r w:rsidR="00A649D6" w:rsidRPr="002654CC">
        <w:rPr>
          <w:rStyle w:val="normaltextrun"/>
        </w:rPr>
        <w:t xml:space="preserve"> or breached</w:t>
      </w:r>
      <w:r w:rsidR="0031120B" w:rsidRPr="002654CC">
        <w:rPr>
          <w:rStyle w:val="normaltextrun"/>
        </w:rPr>
        <w:t>,</w:t>
      </w:r>
      <w:r w:rsidR="00A649D6" w:rsidRPr="002654CC">
        <w:rPr>
          <w:rStyle w:val="normaltextrun"/>
        </w:rPr>
        <w:t xml:space="preserve"> new se</w:t>
      </w:r>
      <w:r w:rsidR="00946C49" w:rsidRPr="002654CC">
        <w:rPr>
          <w:rStyle w:val="normaltextrun"/>
        </w:rPr>
        <w:t>c</w:t>
      </w:r>
      <w:r w:rsidR="00686E8D" w:rsidRPr="002654CC">
        <w:rPr>
          <w:rStyle w:val="normaltextrun"/>
        </w:rPr>
        <w:t>tion 20D.</w:t>
      </w:r>
      <w:r w:rsidR="00A649D6" w:rsidRPr="002654CC">
        <w:rPr>
          <w:rStyle w:val="normaltextrun"/>
        </w:rPr>
        <w:t xml:space="preserve"> Failure to follow the guidance </w:t>
      </w:r>
      <w:r w:rsidR="00946C49" w:rsidRPr="002654CC">
        <w:rPr>
          <w:rStyle w:val="normaltextrun"/>
        </w:rPr>
        <w:t>may</w:t>
      </w:r>
      <w:r w:rsidR="00A649D6" w:rsidRPr="002654CC">
        <w:rPr>
          <w:rStyle w:val="normaltextrun"/>
        </w:rPr>
        <w:t xml:space="preserve"> show that the landlord did not take reasonable steps.</w:t>
      </w:r>
      <w:r w:rsidR="00946C49" w:rsidRPr="002654CC">
        <w:rPr>
          <w:rStyle w:val="normaltextrun"/>
        </w:rPr>
        <w:t xml:space="preserve"> </w:t>
      </w:r>
    </w:p>
    <w:p w14:paraId="49780D01" w14:textId="38A4E47E" w:rsidR="00A34C34" w:rsidRPr="002654CC" w:rsidRDefault="00FB5E02" w:rsidP="00633473">
      <w:pPr>
        <w:pStyle w:val="StatutoryGuidanceMainText"/>
        <w:numPr>
          <w:ilvl w:val="1"/>
          <w:numId w:val="10"/>
        </w:numPr>
        <w:ind w:left="737" w:hanging="595"/>
        <w:rPr>
          <w:rStyle w:val="eop"/>
        </w:rPr>
      </w:pPr>
      <w:r w:rsidRPr="002654CC">
        <w:rPr>
          <w:rStyle w:val="normaltextrun"/>
        </w:rPr>
        <w:t>The statutory guidance</w:t>
      </w:r>
      <w:r w:rsidR="002C7832" w:rsidRPr="002654CC">
        <w:rPr>
          <w:rStyle w:val="normaltextrun"/>
        </w:rPr>
        <w:t xml:space="preserve"> </w:t>
      </w:r>
      <w:r w:rsidR="00A649D6" w:rsidRPr="002654CC">
        <w:rPr>
          <w:rStyle w:val="eop"/>
        </w:rPr>
        <w:t>should also be used by landlords to clarify their responsibilities in respect of the reasonable steps they should take to access alternative sources of funding before passing on any remediation costs to leaseholders</w:t>
      </w:r>
      <w:r w:rsidRPr="002654CC">
        <w:rPr>
          <w:rStyle w:val="eop"/>
        </w:rPr>
        <w:t>.</w:t>
      </w:r>
      <w:r w:rsidR="00505898" w:rsidRPr="002654CC">
        <w:rPr>
          <w:rStyle w:val="eop"/>
        </w:rPr>
        <w:t xml:space="preserve"> Landlords must have regard to the guidance</w:t>
      </w:r>
      <w:r w:rsidR="00126499" w:rsidRPr="002654CC">
        <w:rPr>
          <w:rStyle w:val="eop"/>
        </w:rPr>
        <w:t xml:space="preserve"> – failure to follow the guidance may </w:t>
      </w:r>
      <w:r w:rsidR="00563951" w:rsidRPr="002654CC">
        <w:rPr>
          <w:rStyle w:val="eop"/>
        </w:rPr>
        <w:t>be used a</w:t>
      </w:r>
      <w:r w:rsidR="00022903" w:rsidRPr="002654CC">
        <w:rPr>
          <w:rStyle w:val="eop"/>
        </w:rPr>
        <w:t>s</w:t>
      </w:r>
      <w:r w:rsidR="00563951" w:rsidRPr="002654CC">
        <w:rPr>
          <w:rStyle w:val="eop"/>
        </w:rPr>
        <w:t xml:space="preserve"> evidence of lack of compliance with </w:t>
      </w:r>
      <w:r w:rsidR="00EB388A" w:rsidRPr="002654CC">
        <w:rPr>
          <w:rStyle w:val="eop"/>
        </w:rPr>
        <w:t>new section 20D of the Landlord and Tenant Act 1985.</w:t>
      </w:r>
      <w:r w:rsidR="00505898" w:rsidRPr="002654CC">
        <w:rPr>
          <w:rStyle w:val="eop"/>
        </w:rPr>
        <w:t xml:space="preserve"> </w:t>
      </w:r>
    </w:p>
    <w:p w14:paraId="19860D5C" w14:textId="20B68147" w:rsidR="003675C1" w:rsidRPr="002654CC" w:rsidRDefault="00A649D6" w:rsidP="00633473">
      <w:pPr>
        <w:pStyle w:val="StatutoryGuidanceMainText"/>
        <w:numPr>
          <w:ilvl w:val="1"/>
          <w:numId w:val="10"/>
        </w:numPr>
        <w:ind w:left="737" w:hanging="595"/>
        <w:rPr>
          <w:rStyle w:val="normaltextrun"/>
        </w:rPr>
      </w:pPr>
      <w:r w:rsidRPr="002654CC">
        <w:rPr>
          <w:rStyle w:val="eop"/>
        </w:rPr>
        <w:t>Additionally, t</w:t>
      </w:r>
      <w:r w:rsidRPr="002654CC">
        <w:rPr>
          <w:rStyle w:val="normaltextrun"/>
        </w:rPr>
        <w:t xml:space="preserve">he </w:t>
      </w:r>
      <w:r w:rsidR="00FB5E02" w:rsidRPr="002654CC">
        <w:rPr>
          <w:rStyle w:val="normaltextrun"/>
        </w:rPr>
        <w:t xml:space="preserve">statutory </w:t>
      </w:r>
      <w:r w:rsidRPr="002654CC">
        <w:rPr>
          <w:rStyle w:val="normaltextrun"/>
        </w:rPr>
        <w:t xml:space="preserve">guidance </w:t>
      </w:r>
      <w:r w:rsidR="00FB5E02" w:rsidRPr="002654CC">
        <w:rPr>
          <w:rStyle w:val="normaltextrun"/>
        </w:rPr>
        <w:t>can</w:t>
      </w:r>
      <w:r w:rsidRPr="002654CC">
        <w:rPr>
          <w:rStyle w:val="normaltextrun"/>
        </w:rPr>
        <w:t xml:space="preserve"> be used by leaseholders as a point of reference - to clarify </w:t>
      </w:r>
      <w:r w:rsidR="00F52C32" w:rsidRPr="002654CC">
        <w:rPr>
          <w:rStyle w:val="normaltextrun"/>
        </w:rPr>
        <w:t xml:space="preserve">their </w:t>
      </w:r>
      <w:r w:rsidRPr="002654CC">
        <w:rPr>
          <w:rStyle w:val="normaltextrun"/>
        </w:rPr>
        <w:t xml:space="preserve">landlord’s requirements, </w:t>
      </w:r>
      <w:r w:rsidR="003675C1" w:rsidRPr="002654CC">
        <w:rPr>
          <w:rStyle w:val="normaltextrun"/>
        </w:rPr>
        <w:t xml:space="preserve">and to </w:t>
      </w:r>
      <w:r w:rsidR="003507CB" w:rsidRPr="002654CC">
        <w:rPr>
          <w:rStyle w:val="normaltextrun"/>
        </w:rPr>
        <w:t xml:space="preserve">provide evidence </w:t>
      </w:r>
      <w:r w:rsidR="00385086" w:rsidRPr="002654CC">
        <w:rPr>
          <w:rStyle w:val="normaltextrun"/>
        </w:rPr>
        <w:t xml:space="preserve">should they wish to </w:t>
      </w:r>
      <w:r w:rsidR="003675C1" w:rsidRPr="002654CC">
        <w:rPr>
          <w:rStyle w:val="normaltextrun"/>
        </w:rPr>
        <w:t xml:space="preserve">make an application to the </w:t>
      </w:r>
      <w:r w:rsidR="00A75118" w:rsidRPr="002654CC">
        <w:rPr>
          <w:rFonts w:eastAsia="Times New Roman"/>
          <w:lang w:eastAsia="en-GB"/>
        </w:rPr>
        <w:t>First-tier Tribunal</w:t>
      </w:r>
      <w:r w:rsidR="00773CBE" w:rsidRPr="002654CC">
        <w:rPr>
          <w:rFonts w:eastAsia="Times New Roman"/>
          <w:lang w:eastAsia="en-GB"/>
        </w:rPr>
        <w:t>,</w:t>
      </w:r>
      <w:r w:rsidR="00D103F2" w:rsidRPr="002654CC">
        <w:rPr>
          <w:rStyle w:val="normaltextrun"/>
        </w:rPr>
        <w:t xml:space="preserve"> </w:t>
      </w:r>
      <w:r w:rsidR="00385086" w:rsidRPr="002654CC">
        <w:rPr>
          <w:rStyle w:val="normaltextrun"/>
        </w:rPr>
        <w:t>in instances where</w:t>
      </w:r>
      <w:r w:rsidR="003675C1" w:rsidRPr="002654CC">
        <w:rPr>
          <w:rStyle w:val="normaltextrun"/>
        </w:rPr>
        <w:t xml:space="preserve"> they feel their landlord has failed to </w:t>
      </w:r>
      <w:r w:rsidR="00933E6D" w:rsidRPr="002654CC">
        <w:rPr>
          <w:rStyle w:val="normaltextrun"/>
        </w:rPr>
        <w:t>comply with their obligations</w:t>
      </w:r>
      <w:r w:rsidR="003675C1" w:rsidRPr="002654CC">
        <w:rPr>
          <w:rStyle w:val="normaltextrun"/>
        </w:rPr>
        <w:t xml:space="preserve"> </w:t>
      </w:r>
    </w:p>
    <w:p w14:paraId="0A9EE450" w14:textId="5E42F452" w:rsidR="00A75118" w:rsidRPr="002654CC" w:rsidRDefault="00A75118" w:rsidP="00DF7D5B">
      <w:pPr>
        <w:pStyle w:val="StatutoryGuidanceMainText"/>
        <w:numPr>
          <w:ilvl w:val="1"/>
          <w:numId w:val="10"/>
        </w:numPr>
        <w:ind w:left="754" w:hanging="612"/>
        <w:rPr>
          <w:rStyle w:val="normaltextrun"/>
        </w:rPr>
      </w:pPr>
      <w:r w:rsidRPr="002654CC">
        <w:t>Landlords are not required to complete this duty before carrying out remediation works. The expectation is that landlords will commence remediation works even if the monies are not guaranteed from alternative cost recovery avenues.</w:t>
      </w:r>
    </w:p>
    <w:p w14:paraId="0CF71D1D" w14:textId="51B0B2D0" w:rsidR="006424FB" w:rsidRPr="002654CC" w:rsidRDefault="00DB078C" w:rsidP="00633473">
      <w:pPr>
        <w:pStyle w:val="StatutoryGuidanceMainText"/>
        <w:numPr>
          <w:ilvl w:val="1"/>
          <w:numId w:val="10"/>
        </w:numPr>
        <w:ind w:left="737" w:hanging="595"/>
        <w:rPr>
          <w:rStyle w:val="normaltextrun"/>
        </w:rPr>
      </w:pPr>
      <w:r w:rsidRPr="002654CC">
        <w:rPr>
          <w:rStyle w:val="normaltextrun"/>
        </w:rPr>
        <w:t>W</w:t>
      </w:r>
      <w:r w:rsidR="002F3801" w:rsidRPr="002654CC">
        <w:rPr>
          <w:rStyle w:val="normaltextrun"/>
        </w:rPr>
        <w:t xml:space="preserve">here </w:t>
      </w:r>
      <w:r w:rsidR="00776F55" w:rsidRPr="002654CC">
        <w:rPr>
          <w:rStyle w:val="normaltextrun"/>
        </w:rPr>
        <w:t xml:space="preserve">a landlord makes an application under section 27A of the Landlord and Tenant Act 1985, this does not </w:t>
      </w:r>
      <w:r w:rsidR="00C078B5" w:rsidRPr="002654CC">
        <w:rPr>
          <w:rStyle w:val="normaltextrun"/>
        </w:rPr>
        <w:t>prevent</w:t>
      </w:r>
      <w:r w:rsidR="00776F55" w:rsidRPr="002654CC">
        <w:rPr>
          <w:rStyle w:val="normaltextrun"/>
        </w:rPr>
        <w:t xml:space="preserve"> a leaseholder from making an </w:t>
      </w:r>
      <w:r w:rsidR="00E562CA" w:rsidRPr="002654CC">
        <w:rPr>
          <w:rStyle w:val="normaltextrun"/>
        </w:rPr>
        <w:t>application</w:t>
      </w:r>
      <w:r w:rsidR="00776F55" w:rsidRPr="002654CC">
        <w:rPr>
          <w:rStyle w:val="normaltextrun"/>
        </w:rPr>
        <w:t xml:space="preserve"> to the First-tier Tribunal under section 20D of the Landlord and Tenant Act 1985.</w:t>
      </w:r>
    </w:p>
    <w:p w14:paraId="1F787E84" w14:textId="77777777" w:rsidR="00A674B5" w:rsidRDefault="00A674B5" w:rsidP="00A674B5">
      <w:pPr>
        <w:pStyle w:val="StatutoryGuidanceMainText"/>
        <w:numPr>
          <w:ilvl w:val="0"/>
          <w:numId w:val="0"/>
        </w:numPr>
        <w:ind w:left="737"/>
        <w:rPr>
          <w:rStyle w:val="normaltextrun"/>
        </w:rPr>
      </w:pPr>
    </w:p>
    <w:p w14:paraId="0DBD8AE3" w14:textId="0BF759C7" w:rsidR="00D23F12" w:rsidRPr="00525543" w:rsidRDefault="00B254E5" w:rsidP="00724915">
      <w:pPr>
        <w:pStyle w:val="Heading2"/>
        <w:numPr>
          <w:ilvl w:val="0"/>
          <w:numId w:val="0"/>
        </w:numPr>
        <w:ind w:left="754" w:hanging="612"/>
        <w:rPr>
          <w:rStyle w:val="normaltextrun"/>
        </w:rPr>
      </w:pPr>
      <w:bookmarkStart w:id="8" w:name="_Toc115948279"/>
      <w:r>
        <w:rPr>
          <w:rStyle w:val="normaltextrun"/>
        </w:rPr>
        <w:t>3</w:t>
      </w:r>
      <w:r w:rsidR="00D23F12">
        <w:rPr>
          <w:rStyle w:val="normaltextrun"/>
        </w:rPr>
        <w:t xml:space="preserve">. Application of this </w:t>
      </w:r>
      <w:r w:rsidR="0010159A">
        <w:rPr>
          <w:rStyle w:val="normaltextrun"/>
        </w:rPr>
        <w:t>g</w:t>
      </w:r>
      <w:r w:rsidR="00D23F12">
        <w:rPr>
          <w:rStyle w:val="normaltextrun"/>
        </w:rPr>
        <w:t>uidance</w:t>
      </w:r>
      <w:bookmarkEnd w:id="8"/>
      <w:r w:rsidR="00D23F12" w:rsidRPr="00525543">
        <w:rPr>
          <w:rStyle w:val="normaltextrun"/>
        </w:rPr>
        <w:t xml:space="preserve"> </w:t>
      </w:r>
    </w:p>
    <w:p w14:paraId="7DD1899F" w14:textId="5892EBB9" w:rsidR="00D23F12" w:rsidRPr="00A674B5" w:rsidRDefault="003D4895" w:rsidP="00633473">
      <w:pPr>
        <w:pStyle w:val="ListParagraph"/>
        <w:numPr>
          <w:ilvl w:val="1"/>
          <w:numId w:val="14"/>
        </w:numPr>
        <w:tabs>
          <w:tab w:val="left" w:pos="-720"/>
        </w:tabs>
        <w:suppressAutoHyphens/>
        <w:ind w:left="754" w:hanging="612"/>
        <w:contextualSpacing w:val="0"/>
        <w:rPr>
          <w:rFonts w:ascii="Arial" w:hAnsi="Arial" w:cs="Arial"/>
        </w:rPr>
      </w:pPr>
      <w:r w:rsidRPr="00132B29">
        <w:rPr>
          <w:rFonts w:ascii="Arial" w:hAnsi="Arial" w:cs="Arial"/>
          <w:b/>
        </w:rPr>
        <w:t>[</w:t>
      </w:r>
      <w:r w:rsidR="00D23F12" w:rsidRPr="00A674B5">
        <w:rPr>
          <w:rFonts w:ascii="Arial" w:hAnsi="Arial" w:cs="Arial"/>
        </w:rPr>
        <w:t xml:space="preserve">For a building to be in scope of the section 20D duty, it must meet </w:t>
      </w:r>
      <w:r w:rsidR="00D23F12" w:rsidRPr="00A674B5">
        <w:rPr>
          <w:rFonts w:ascii="Arial" w:hAnsi="Arial" w:cs="Arial"/>
          <w:b/>
        </w:rPr>
        <w:t xml:space="preserve">all </w:t>
      </w:r>
      <w:r w:rsidR="00D23F12" w:rsidRPr="00A674B5">
        <w:rPr>
          <w:rFonts w:ascii="Arial" w:hAnsi="Arial" w:cs="Arial"/>
        </w:rPr>
        <w:t xml:space="preserve">the following criteria: </w:t>
      </w:r>
    </w:p>
    <w:p w14:paraId="6A998E9F" w14:textId="77777777" w:rsidR="00D23F12" w:rsidRPr="00C04CD9" w:rsidRDefault="00D23F12" w:rsidP="00633473">
      <w:pPr>
        <w:pStyle w:val="ListParagraph"/>
        <w:numPr>
          <w:ilvl w:val="2"/>
          <w:numId w:val="14"/>
        </w:numPr>
        <w:tabs>
          <w:tab w:val="left" w:pos="-720"/>
        </w:tabs>
        <w:suppressAutoHyphens/>
        <w:spacing w:line="276" w:lineRule="auto"/>
        <w:jc w:val="both"/>
        <w:rPr>
          <w:rFonts w:ascii="Arial" w:hAnsi="Arial" w:cs="Arial"/>
          <w:bCs/>
          <w:iCs/>
        </w:rPr>
      </w:pPr>
      <w:r w:rsidRPr="00C04CD9">
        <w:rPr>
          <w:rFonts w:ascii="Arial" w:hAnsi="Arial" w:cs="Arial"/>
        </w:rPr>
        <w:t xml:space="preserve">it is at least 11 metres in height or has at least five storeys  </w:t>
      </w:r>
    </w:p>
    <w:p w14:paraId="20016ADE" w14:textId="77777777" w:rsidR="00D23F12" w:rsidRPr="00B45EDE" w:rsidRDefault="00D23F12" w:rsidP="00633473">
      <w:pPr>
        <w:pStyle w:val="ListParagraph"/>
        <w:numPr>
          <w:ilvl w:val="2"/>
          <w:numId w:val="14"/>
        </w:numPr>
        <w:tabs>
          <w:tab w:val="left" w:pos="-720"/>
        </w:tabs>
        <w:suppressAutoHyphens/>
        <w:spacing w:line="276" w:lineRule="auto"/>
        <w:jc w:val="both"/>
        <w:rPr>
          <w:rFonts w:ascii="Arial" w:hAnsi="Arial" w:cs="Arial"/>
          <w:bCs/>
          <w:iCs/>
        </w:rPr>
      </w:pPr>
      <w:r w:rsidRPr="00B45EDE">
        <w:rPr>
          <w:rFonts w:ascii="Arial" w:hAnsi="Arial" w:cs="Arial"/>
        </w:rPr>
        <w:t xml:space="preserve">it contains at least two dwellings </w:t>
      </w:r>
    </w:p>
    <w:p w14:paraId="716D78D9" w14:textId="0804666F" w:rsidR="00D23F12" w:rsidRDefault="00D23F12" w:rsidP="00633473">
      <w:pPr>
        <w:pStyle w:val="ListParagraph"/>
        <w:numPr>
          <w:ilvl w:val="2"/>
          <w:numId w:val="14"/>
        </w:numPr>
        <w:suppressAutoHyphens/>
        <w:spacing w:line="276" w:lineRule="auto"/>
        <w:jc w:val="both"/>
        <w:rPr>
          <w:rFonts w:ascii="Arial" w:hAnsi="Arial" w:cs="Arial"/>
        </w:rPr>
      </w:pPr>
      <w:r w:rsidRPr="5071EA68">
        <w:rPr>
          <w:rFonts w:ascii="Arial" w:hAnsi="Arial" w:cs="Arial"/>
        </w:rPr>
        <w:t xml:space="preserve">it is not a leaseholder-owned </w:t>
      </w:r>
      <w:r w:rsidR="68704913" w:rsidRPr="245302A2">
        <w:rPr>
          <w:rFonts w:ascii="Arial" w:hAnsi="Arial" w:cs="Arial"/>
        </w:rPr>
        <w:t xml:space="preserve">or </w:t>
      </w:r>
      <w:r w:rsidR="00AC52B0">
        <w:rPr>
          <w:rFonts w:ascii="Arial" w:hAnsi="Arial" w:cs="Arial"/>
        </w:rPr>
        <w:t>leaseholder-</w:t>
      </w:r>
      <w:r w:rsidR="68704913" w:rsidRPr="245302A2">
        <w:rPr>
          <w:rFonts w:ascii="Arial" w:hAnsi="Arial" w:cs="Arial"/>
        </w:rPr>
        <w:t xml:space="preserve">managed </w:t>
      </w:r>
      <w:r w:rsidRPr="5071EA68">
        <w:rPr>
          <w:rFonts w:ascii="Arial" w:hAnsi="Arial" w:cs="Arial"/>
        </w:rPr>
        <w:t>building</w:t>
      </w:r>
    </w:p>
    <w:p w14:paraId="0FC21180" w14:textId="77777777" w:rsidR="00D23F12" w:rsidRDefault="00D23F12" w:rsidP="00633473">
      <w:pPr>
        <w:pStyle w:val="ListParagraph"/>
        <w:numPr>
          <w:ilvl w:val="2"/>
          <w:numId w:val="14"/>
        </w:numPr>
        <w:suppressAutoHyphens/>
        <w:spacing w:line="276" w:lineRule="auto"/>
        <w:jc w:val="both"/>
        <w:rPr>
          <w:rFonts w:ascii="Arial" w:hAnsi="Arial" w:cs="Arial"/>
        </w:rPr>
      </w:pPr>
      <w:r>
        <w:rPr>
          <w:rFonts w:ascii="Arial" w:hAnsi="Arial" w:cs="Arial"/>
        </w:rPr>
        <w:t>it is not on commonhold land</w:t>
      </w:r>
    </w:p>
    <w:p w14:paraId="340792CF" w14:textId="5F74B575" w:rsidR="00D23F12" w:rsidRPr="00A674B5" w:rsidRDefault="00D23F12" w:rsidP="00633473">
      <w:pPr>
        <w:pStyle w:val="ListParagraph"/>
        <w:numPr>
          <w:ilvl w:val="1"/>
          <w:numId w:val="14"/>
        </w:numPr>
        <w:tabs>
          <w:tab w:val="left" w:pos="-720"/>
        </w:tabs>
        <w:suppressAutoHyphens/>
        <w:spacing w:line="276" w:lineRule="auto"/>
        <w:contextualSpacing w:val="0"/>
        <w:rPr>
          <w:rFonts w:ascii="Arial" w:hAnsi="Arial" w:cs="Arial"/>
        </w:rPr>
      </w:pPr>
      <w:r w:rsidRPr="00A674B5">
        <w:rPr>
          <w:rFonts w:ascii="Arial" w:hAnsi="Arial" w:cs="Arial"/>
        </w:rPr>
        <w:t xml:space="preserve">For a defect to be in scope of the section 20D duty, it must meet </w:t>
      </w:r>
      <w:r w:rsidRPr="00A674B5">
        <w:rPr>
          <w:rFonts w:ascii="Arial" w:hAnsi="Arial" w:cs="Arial"/>
          <w:b/>
        </w:rPr>
        <w:t>all</w:t>
      </w:r>
      <w:r w:rsidRPr="00A674B5">
        <w:rPr>
          <w:rFonts w:ascii="Arial" w:hAnsi="Arial" w:cs="Arial"/>
        </w:rPr>
        <w:t xml:space="preserve"> the following criteria: </w:t>
      </w:r>
    </w:p>
    <w:p w14:paraId="2197E5BE" w14:textId="77777777" w:rsidR="00D23F12" w:rsidRPr="00B45EDE" w:rsidRDefault="00D23F12" w:rsidP="00633473">
      <w:pPr>
        <w:pStyle w:val="ListParagraph"/>
        <w:numPr>
          <w:ilvl w:val="2"/>
          <w:numId w:val="14"/>
        </w:numPr>
        <w:tabs>
          <w:tab w:val="left" w:pos="-720"/>
        </w:tabs>
        <w:suppressAutoHyphens/>
        <w:spacing w:line="276" w:lineRule="auto"/>
        <w:contextualSpacing w:val="0"/>
        <w:rPr>
          <w:rFonts w:ascii="Arial" w:hAnsi="Arial" w:cs="Arial"/>
          <w:bCs/>
          <w:iCs/>
        </w:rPr>
      </w:pPr>
      <w:r w:rsidRPr="00B45EDE">
        <w:rPr>
          <w:rFonts w:ascii="Arial" w:hAnsi="Arial" w:cs="Arial"/>
        </w:rPr>
        <w:lastRenderedPageBreak/>
        <w:t xml:space="preserve">it puts people’s safety at risk from the spread of fire, or structural collapse </w:t>
      </w:r>
    </w:p>
    <w:p w14:paraId="5B557BFE" w14:textId="77777777" w:rsidR="00D23F12" w:rsidRPr="00B45EDE" w:rsidRDefault="00D23F12" w:rsidP="00633473">
      <w:pPr>
        <w:pStyle w:val="ListParagraph"/>
        <w:numPr>
          <w:ilvl w:val="2"/>
          <w:numId w:val="14"/>
        </w:numPr>
        <w:tabs>
          <w:tab w:val="left" w:pos="-720"/>
        </w:tabs>
        <w:suppressAutoHyphens/>
        <w:spacing w:line="276" w:lineRule="auto"/>
        <w:contextualSpacing w:val="0"/>
        <w:rPr>
          <w:rFonts w:ascii="Arial" w:hAnsi="Arial" w:cs="Arial"/>
          <w:bCs/>
          <w:iCs/>
        </w:rPr>
      </w:pPr>
      <w:r w:rsidRPr="00B45EDE">
        <w:rPr>
          <w:rFonts w:ascii="Arial" w:hAnsi="Arial" w:cs="Arial"/>
        </w:rPr>
        <w:t xml:space="preserve">it has arisen from work done to a building, including the use of inappropriate or defective products, during its construction, or any later works (such as refurbishment or remediation) </w:t>
      </w:r>
    </w:p>
    <w:p w14:paraId="7982B488" w14:textId="77777777" w:rsidR="00D23F12" w:rsidRPr="00B45EDE" w:rsidRDefault="00D23F12" w:rsidP="00633473">
      <w:pPr>
        <w:pStyle w:val="ListParagraph"/>
        <w:numPr>
          <w:ilvl w:val="2"/>
          <w:numId w:val="14"/>
        </w:numPr>
        <w:tabs>
          <w:tab w:val="left" w:pos="-720"/>
        </w:tabs>
        <w:suppressAutoHyphens/>
        <w:spacing w:line="276" w:lineRule="auto"/>
        <w:contextualSpacing w:val="0"/>
        <w:rPr>
          <w:rFonts w:ascii="Arial" w:hAnsi="Arial" w:cs="Arial"/>
          <w:bCs/>
          <w:iCs/>
        </w:rPr>
      </w:pPr>
      <w:r w:rsidRPr="00B45EDE">
        <w:rPr>
          <w:rFonts w:ascii="Arial" w:hAnsi="Arial" w:cs="Arial"/>
        </w:rPr>
        <w:t>it has been created in the 30 years prior to the leaseholder protections coming into force (meaning the defect had to be created from 28 June 1992 to 27 June 2022)</w:t>
      </w:r>
    </w:p>
    <w:p w14:paraId="2654CFE0" w14:textId="77777777" w:rsidR="00D23F12" w:rsidRPr="00B45EDE" w:rsidRDefault="00D23F12" w:rsidP="00633473">
      <w:pPr>
        <w:pStyle w:val="ListParagraph"/>
        <w:numPr>
          <w:ilvl w:val="2"/>
          <w:numId w:val="14"/>
        </w:numPr>
        <w:tabs>
          <w:tab w:val="left" w:pos="-720"/>
        </w:tabs>
        <w:suppressAutoHyphens/>
        <w:spacing w:line="276" w:lineRule="auto"/>
        <w:contextualSpacing w:val="0"/>
        <w:rPr>
          <w:rFonts w:ascii="Arial" w:hAnsi="Arial" w:cs="Arial"/>
          <w:bCs/>
          <w:iCs/>
        </w:rPr>
      </w:pPr>
      <w:r w:rsidRPr="00B45EDE">
        <w:rPr>
          <w:rFonts w:ascii="Arial" w:hAnsi="Arial" w:cs="Arial"/>
        </w:rPr>
        <w:t xml:space="preserve">it relates to </w:t>
      </w:r>
      <w:r w:rsidRPr="00B45EDE">
        <w:rPr>
          <w:rFonts w:ascii="Arial" w:hAnsi="Arial" w:cs="Arial"/>
          <w:b/>
          <w:bCs/>
        </w:rPr>
        <w:t>at least one</w:t>
      </w:r>
      <w:r w:rsidRPr="00B45EDE">
        <w:rPr>
          <w:rFonts w:ascii="Arial" w:hAnsi="Arial" w:cs="Arial"/>
        </w:rPr>
        <w:t xml:space="preserve"> of the following types of works:</w:t>
      </w:r>
    </w:p>
    <w:p w14:paraId="1EB791A1" w14:textId="77777777" w:rsidR="00D23F12" w:rsidRPr="00B45EDE" w:rsidRDefault="00D23F12" w:rsidP="00633473">
      <w:pPr>
        <w:pStyle w:val="ListParagraph"/>
        <w:numPr>
          <w:ilvl w:val="3"/>
          <w:numId w:val="14"/>
        </w:numPr>
        <w:tabs>
          <w:tab w:val="left" w:pos="-720"/>
        </w:tabs>
        <w:suppressAutoHyphens/>
        <w:spacing w:line="276" w:lineRule="auto"/>
        <w:contextualSpacing w:val="0"/>
        <w:rPr>
          <w:rFonts w:ascii="Arial" w:hAnsi="Arial" w:cs="Arial"/>
          <w:bCs/>
          <w:iCs/>
        </w:rPr>
      </w:pPr>
      <w:r w:rsidRPr="00B45EDE">
        <w:rPr>
          <w:rFonts w:ascii="Arial" w:hAnsi="Arial" w:cs="Arial"/>
          <w:bCs/>
          <w:iCs/>
        </w:rPr>
        <w:t>the initial construction of the building</w:t>
      </w:r>
    </w:p>
    <w:p w14:paraId="035A8B62" w14:textId="77777777" w:rsidR="00D23F12" w:rsidRPr="00B45EDE" w:rsidRDefault="00D23F12" w:rsidP="00633473">
      <w:pPr>
        <w:pStyle w:val="ListParagraph"/>
        <w:numPr>
          <w:ilvl w:val="3"/>
          <w:numId w:val="14"/>
        </w:numPr>
        <w:tabs>
          <w:tab w:val="left" w:pos="-720"/>
        </w:tabs>
        <w:suppressAutoHyphens/>
        <w:spacing w:line="276" w:lineRule="auto"/>
        <w:contextualSpacing w:val="0"/>
        <w:rPr>
          <w:rFonts w:ascii="Arial" w:hAnsi="Arial" w:cs="Arial"/>
          <w:bCs/>
          <w:iCs/>
        </w:rPr>
      </w:pPr>
      <w:r w:rsidRPr="00B45EDE">
        <w:rPr>
          <w:rFonts w:ascii="Arial" w:hAnsi="Arial" w:cs="Arial"/>
          <w:bCs/>
          <w:iCs/>
        </w:rPr>
        <w:t>the conversion of a non-residential building into a residential building</w:t>
      </w:r>
    </w:p>
    <w:p w14:paraId="25CCA168" w14:textId="0FC83488" w:rsidR="00776F55" w:rsidRPr="00F800FF" w:rsidRDefault="00D23F12" w:rsidP="00633473">
      <w:pPr>
        <w:pStyle w:val="ListParagraph"/>
        <w:numPr>
          <w:ilvl w:val="3"/>
          <w:numId w:val="14"/>
        </w:numPr>
        <w:tabs>
          <w:tab w:val="left" w:pos="-720"/>
        </w:tabs>
        <w:suppressAutoHyphens/>
        <w:spacing w:line="276" w:lineRule="auto"/>
        <w:contextualSpacing w:val="0"/>
        <w:rPr>
          <w:rFonts w:ascii="Arial" w:hAnsi="Arial" w:cs="Arial"/>
          <w:bCs/>
          <w:iCs/>
        </w:rPr>
      </w:pPr>
      <w:r w:rsidRPr="00B45EDE">
        <w:rPr>
          <w:rFonts w:ascii="Arial" w:hAnsi="Arial" w:cs="Arial"/>
          <w:bCs/>
          <w:iCs/>
        </w:rPr>
        <w:t>any other works undertaken or commissioned by or on behalf of the building owner, or management company</w:t>
      </w:r>
      <w:r w:rsidR="003D4895" w:rsidRPr="00132B29">
        <w:rPr>
          <w:rFonts w:ascii="Arial" w:hAnsi="Arial" w:cs="Arial"/>
          <w:b/>
        </w:rPr>
        <w:t>]</w:t>
      </w:r>
      <w:r w:rsidR="006377DF" w:rsidRPr="006377DF">
        <w:rPr>
          <w:rStyle w:val="FootnoteReference"/>
        </w:rPr>
        <w:t xml:space="preserve"> </w:t>
      </w:r>
      <w:r w:rsidR="006377DF" w:rsidRPr="00615BAC">
        <w:rPr>
          <w:rStyle w:val="FootnoteReference"/>
          <w:rFonts w:ascii="Arial" w:hAnsi="Arial" w:cs="Arial"/>
        </w:rPr>
        <w:footnoteReference w:id="2"/>
      </w:r>
    </w:p>
    <w:p w14:paraId="08AC5812" w14:textId="26FB1FB4" w:rsidR="00F800FF" w:rsidRDefault="00554C30" w:rsidP="00831129">
      <w:pPr>
        <w:tabs>
          <w:tab w:val="left" w:pos="-720"/>
        </w:tabs>
        <w:suppressAutoHyphens/>
        <w:spacing w:line="276" w:lineRule="auto"/>
        <w:rPr>
          <w:rStyle w:val="CommentTextChar"/>
          <w:rFonts w:ascii="Arial" w:hAnsi="Arial" w:cs="Arial"/>
          <w:bCs/>
          <w:iCs/>
          <w:sz w:val="22"/>
          <w:szCs w:val="22"/>
        </w:rPr>
      </w:pPr>
      <w:r w:rsidRPr="00554C30">
        <w:rPr>
          <w:rStyle w:val="CommentTextChar"/>
          <w:rFonts w:ascii="Arial" w:hAnsi="Arial" w:cs="Arial"/>
          <w:bCs/>
          <w:iCs/>
          <w:sz w:val="22"/>
          <w:szCs w:val="22"/>
        </w:rPr>
        <w:t>11.</w:t>
      </w:r>
      <w:r w:rsidRPr="00554C30">
        <w:rPr>
          <w:rStyle w:val="CommentTextChar"/>
          <w:rFonts w:ascii="Arial" w:hAnsi="Arial" w:cs="Arial"/>
          <w:bCs/>
          <w:iCs/>
          <w:sz w:val="22"/>
          <w:szCs w:val="22"/>
        </w:rPr>
        <w:tab/>
        <w:t xml:space="preserve">The </w:t>
      </w:r>
      <w:r>
        <w:rPr>
          <w:rStyle w:val="CommentTextChar"/>
          <w:rFonts w:ascii="Arial" w:hAnsi="Arial" w:cs="Arial"/>
          <w:bCs/>
          <w:iCs/>
          <w:sz w:val="22"/>
          <w:szCs w:val="22"/>
        </w:rPr>
        <w:t xml:space="preserve">20D duty applies only </w:t>
      </w:r>
      <w:r w:rsidRPr="00554C30">
        <w:rPr>
          <w:rStyle w:val="CommentTextChar"/>
          <w:rFonts w:ascii="Arial" w:hAnsi="Arial" w:cs="Arial"/>
          <w:bCs/>
          <w:iCs/>
          <w:sz w:val="22"/>
          <w:szCs w:val="22"/>
        </w:rPr>
        <w:t>to buildings in England.</w:t>
      </w:r>
    </w:p>
    <w:p w14:paraId="7F994328" w14:textId="77777777" w:rsidR="00876DAF" w:rsidRPr="00831129" w:rsidRDefault="00876DAF" w:rsidP="00831129">
      <w:pPr>
        <w:tabs>
          <w:tab w:val="left" w:pos="-720"/>
        </w:tabs>
        <w:suppressAutoHyphens/>
        <w:spacing w:line="276" w:lineRule="auto"/>
        <w:rPr>
          <w:rStyle w:val="CommentTextChar"/>
          <w:rFonts w:ascii="Arial" w:hAnsi="Arial" w:cs="Arial"/>
          <w:bCs/>
          <w:iCs/>
          <w:sz w:val="22"/>
          <w:szCs w:val="22"/>
        </w:rPr>
      </w:pPr>
    </w:p>
    <w:p w14:paraId="2D6EDB53" w14:textId="73B5F032" w:rsidR="009E19FB" w:rsidRPr="00C737FF" w:rsidRDefault="00C04CD9" w:rsidP="00724915">
      <w:pPr>
        <w:pStyle w:val="Heading2"/>
        <w:numPr>
          <w:ilvl w:val="0"/>
          <w:numId w:val="0"/>
        </w:numPr>
        <w:ind w:left="754" w:hanging="612"/>
        <w:rPr>
          <w:rStyle w:val="normaltextrun"/>
          <w:rFonts w:cs="Arial"/>
          <w:bCs/>
          <w:szCs w:val="28"/>
        </w:rPr>
      </w:pPr>
      <w:bookmarkStart w:id="9" w:name="_Toc115948280"/>
      <w:r>
        <w:rPr>
          <w:rStyle w:val="CommentTextChar"/>
          <w:rFonts w:cs="Arial"/>
          <w:bCs/>
          <w:sz w:val="28"/>
          <w:szCs w:val="28"/>
        </w:rPr>
        <w:t>4</w:t>
      </w:r>
      <w:r w:rsidR="00703B45" w:rsidRPr="00C737FF">
        <w:rPr>
          <w:rStyle w:val="CommentTextChar"/>
          <w:rFonts w:cs="Arial"/>
          <w:bCs/>
          <w:sz w:val="28"/>
          <w:szCs w:val="28"/>
        </w:rPr>
        <w:t xml:space="preserve">. </w:t>
      </w:r>
      <w:r w:rsidR="00C737FF" w:rsidRPr="00C737FF">
        <w:rPr>
          <w:rStyle w:val="normaltextrun"/>
          <w:rFonts w:cs="Arial"/>
          <w:bCs/>
          <w:szCs w:val="28"/>
        </w:rPr>
        <w:t>Interpretation</w:t>
      </w:r>
      <w:r w:rsidR="00C737FF" w:rsidRPr="00C737FF">
        <w:rPr>
          <w:rFonts w:cs="Arial"/>
          <w:bCs/>
          <w:color w:val="auto"/>
          <w:szCs w:val="28"/>
        </w:rPr>
        <w:t xml:space="preserve"> </w:t>
      </w:r>
      <w:r w:rsidR="00C737FF" w:rsidRPr="00C737FF">
        <w:rPr>
          <w:rStyle w:val="normaltextrun"/>
          <w:rFonts w:cs="Arial"/>
          <w:bCs/>
          <w:szCs w:val="28"/>
        </w:rPr>
        <w:t>of terms</w:t>
      </w:r>
      <w:bookmarkEnd w:id="9"/>
    </w:p>
    <w:p w14:paraId="2EA187AE" w14:textId="4E8D49B5" w:rsidR="00371EF7" w:rsidRPr="005C6996" w:rsidRDefault="006F0C89" w:rsidP="00633473">
      <w:pPr>
        <w:pStyle w:val="StatutoryGuidanceMainText"/>
        <w:numPr>
          <w:ilvl w:val="1"/>
          <w:numId w:val="15"/>
        </w:numPr>
        <w:ind w:left="754" w:hanging="612"/>
        <w:rPr>
          <w:rFonts w:asciiTheme="minorHAnsi" w:hAnsiTheme="minorHAnsi" w:cstheme="minorBidi"/>
        </w:rPr>
      </w:pPr>
      <w:r>
        <w:t>W</w:t>
      </w:r>
      <w:r w:rsidR="74E158F6" w:rsidRPr="005C6996">
        <w:t xml:space="preserve">here the word ‘must’ </w:t>
      </w:r>
      <w:proofErr w:type="gramStart"/>
      <w:r w:rsidR="74E158F6" w:rsidRPr="005C6996">
        <w:t>is</w:t>
      </w:r>
      <w:proofErr w:type="gramEnd"/>
      <w:r w:rsidR="74E158F6" w:rsidRPr="005C6996">
        <w:t xml:space="preserve"> used</w:t>
      </w:r>
      <w:r w:rsidRPr="006F0C89">
        <w:t xml:space="preserve"> </w:t>
      </w:r>
      <w:r>
        <w:t>i</w:t>
      </w:r>
      <w:r w:rsidRPr="005C6996">
        <w:t>n this guidance</w:t>
      </w:r>
      <w:r w:rsidR="74E158F6" w:rsidRPr="005C6996">
        <w:t>, it is referring to a statutory requirement under primary legislation, regulations, or case</w:t>
      </w:r>
      <w:r w:rsidR="2DE020BB" w:rsidRPr="005C6996">
        <w:t xml:space="preserve"> law</w:t>
      </w:r>
      <w:r w:rsidR="003B4234">
        <w:t>. T</w:t>
      </w:r>
      <w:r w:rsidR="74E158F6" w:rsidRPr="005C6996">
        <w:t xml:space="preserve">he landlord </w:t>
      </w:r>
      <w:r w:rsidR="00F44075">
        <w:t>must comply</w:t>
      </w:r>
      <w:r w:rsidR="008D5759" w:rsidRPr="005C6996">
        <w:t xml:space="preserve"> </w:t>
      </w:r>
      <w:r w:rsidR="004F0D14">
        <w:t xml:space="preserve">with a </w:t>
      </w:r>
      <w:r w:rsidR="008D5759" w:rsidRPr="005C6996">
        <w:t>requirement</w:t>
      </w:r>
      <w:r w:rsidR="006B0900">
        <w:t xml:space="preserve"> and </w:t>
      </w:r>
      <w:r w:rsidR="005C6996" w:rsidRPr="005C6996">
        <w:t xml:space="preserve">cannot ignore it. </w:t>
      </w:r>
    </w:p>
    <w:p w14:paraId="2B662CB6" w14:textId="0C32ED20" w:rsidR="001B4F07" w:rsidRPr="00F633D5" w:rsidRDefault="00CF2331" w:rsidP="00633473">
      <w:pPr>
        <w:pStyle w:val="StatutoryGuidanceMainText"/>
        <w:numPr>
          <w:ilvl w:val="1"/>
          <w:numId w:val="15"/>
        </w:numPr>
        <w:ind w:left="754" w:hanging="612"/>
        <w:rPr>
          <w:rFonts w:asciiTheme="minorHAnsi" w:hAnsiTheme="minorHAnsi" w:cstheme="minorBidi"/>
        </w:rPr>
      </w:pPr>
      <w:r w:rsidRPr="0081242F">
        <w:t xml:space="preserve">Where the word </w:t>
      </w:r>
      <w:r w:rsidR="005C6996" w:rsidRPr="0081242F">
        <w:t xml:space="preserve">‘should’ and </w:t>
      </w:r>
      <w:r w:rsidRPr="0081242F">
        <w:t xml:space="preserve">‘may’ </w:t>
      </w:r>
      <w:r w:rsidR="005C6996" w:rsidRPr="0081242F">
        <w:t>are</w:t>
      </w:r>
      <w:r w:rsidRPr="0081242F">
        <w:t xml:space="preserve"> used, </w:t>
      </w:r>
      <w:r w:rsidR="00FD49DF" w:rsidRPr="0081242F">
        <w:t>it</w:t>
      </w:r>
      <w:r w:rsidR="00F97EBE" w:rsidRPr="0081242F">
        <w:t xml:space="preserve"> </w:t>
      </w:r>
      <w:r w:rsidRPr="0081242F">
        <w:t xml:space="preserve">means that the guidance </w:t>
      </w:r>
      <w:r w:rsidR="00302485" w:rsidRPr="0081242F">
        <w:t xml:space="preserve">should </w:t>
      </w:r>
      <w:r w:rsidRPr="0081242F">
        <w:t xml:space="preserve">be considered </w:t>
      </w:r>
      <w:r w:rsidR="00D31FC5" w:rsidRPr="0081242F">
        <w:t xml:space="preserve">and that </w:t>
      </w:r>
      <w:r w:rsidR="00097D71" w:rsidRPr="0081242F">
        <w:t xml:space="preserve">proof of </w:t>
      </w:r>
      <w:r w:rsidR="005E79FB" w:rsidRPr="0081242F">
        <w:rPr>
          <w:rFonts w:eastAsia="Times New Roman" w:cstheme="minorHAnsi"/>
          <w:lang w:eastAsia="en-GB"/>
        </w:rPr>
        <w:t xml:space="preserve">failure to comply may be </w:t>
      </w:r>
      <w:r w:rsidR="00E50317" w:rsidRPr="0081242F">
        <w:rPr>
          <w:rFonts w:eastAsia="Times New Roman" w:cstheme="minorHAnsi"/>
          <w:lang w:eastAsia="en-GB"/>
        </w:rPr>
        <w:t>considered</w:t>
      </w:r>
      <w:r w:rsidR="005E79FB" w:rsidRPr="0081242F">
        <w:rPr>
          <w:rFonts w:eastAsia="Times New Roman" w:cstheme="minorHAnsi"/>
          <w:lang w:eastAsia="en-GB"/>
        </w:rPr>
        <w:t xml:space="preserve"> </w:t>
      </w:r>
      <w:r w:rsidR="00C53923" w:rsidRPr="0081242F">
        <w:rPr>
          <w:rFonts w:eastAsia="Times New Roman" w:cstheme="minorHAnsi"/>
          <w:lang w:eastAsia="en-GB"/>
        </w:rPr>
        <w:t xml:space="preserve">as evidence </w:t>
      </w:r>
      <w:r w:rsidR="005E79FB" w:rsidRPr="0081242F">
        <w:rPr>
          <w:rFonts w:eastAsia="Times New Roman" w:cstheme="minorHAnsi"/>
          <w:lang w:eastAsia="en-GB"/>
        </w:rPr>
        <w:t>that there was a failure</w:t>
      </w:r>
      <w:r w:rsidR="00FD49DF" w:rsidRPr="0081242F">
        <w:rPr>
          <w:rFonts w:eastAsia="Times New Roman" w:cstheme="minorHAnsi"/>
          <w:lang w:eastAsia="en-GB"/>
        </w:rPr>
        <w:t xml:space="preserve"> </w:t>
      </w:r>
      <w:r w:rsidR="005C248E" w:rsidRPr="0081242F">
        <w:rPr>
          <w:rFonts w:eastAsia="Times New Roman" w:cstheme="minorHAnsi"/>
          <w:lang w:eastAsia="en-GB"/>
        </w:rPr>
        <w:t xml:space="preserve">to comply with </w:t>
      </w:r>
      <w:r w:rsidR="00005242" w:rsidRPr="0081242F">
        <w:rPr>
          <w:rFonts w:eastAsia="Times New Roman" w:cstheme="minorHAnsi"/>
          <w:lang w:eastAsia="en-GB"/>
        </w:rPr>
        <w:t>statutory requirements</w:t>
      </w:r>
      <w:r w:rsidRPr="0081242F">
        <w:t>.</w:t>
      </w:r>
      <w:r w:rsidR="005848D8" w:rsidRPr="0081242F">
        <w:t xml:space="preserve"> </w:t>
      </w:r>
      <w:r w:rsidR="000F4147">
        <w:t xml:space="preserve">The landlord should have due regard to the requirement. </w:t>
      </w:r>
    </w:p>
    <w:p w14:paraId="1439496C" w14:textId="44604D66" w:rsidR="000A228E" w:rsidRPr="00C251A1" w:rsidRDefault="000A228E" w:rsidP="00633473">
      <w:pPr>
        <w:pStyle w:val="StatutoryGuidanceMainText"/>
        <w:numPr>
          <w:ilvl w:val="1"/>
          <w:numId w:val="15"/>
        </w:numPr>
        <w:ind w:left="754" w:hanging="612"/>
      </w:pPr>
      <w:r>
        <w:t xml:space="preserve">The term </w:t>
      </w:r>
      <w:r w:rsidR="009D0F32">
        <w:t>‘</w:t>
      </w:r>
      <w:r>
        <w:t>building owner</w:t>
      </w:r>
      <w:r w:rsidR="009D0F32">
        <w:t>’</w:t>
      </w:r>
      <w:r>
        <w:t xml:space="preserve"> is used in this guidance in relation to the leaseholder protection provisions</w:t>
      </w:r>
      <w:r w:rsidR="001B4CD7">
        <w:t xml:space="preserve"> in </w:t>
      </w:r>
      <w:r w:rsidR="00BB3E95">
        <w:t>section</w:t>
      </w:r>
      <w:r w:rsidR="1A84191C">
        <w:t>s</w:t>
      </w:r>
      <w:r w:rsidR="00BB3E95">
        <w:t xml:space="preserve"> 116</w:t>
      </w:r>
      <w:r w:rsidR="00597151">
        <w:t xml:space="preserve"> - </w:t>
      </w:r>
      <w:r w:rsidR="00BB3E95">
        <w:t>125 of the Building Safety Act 2022</w:t>
      </w:r>
      <w:r w:rsidR="00AB2455">
        <w:t>. I</w:t>
      </w:r>
      <w:r w:rsidR="00BB3E95">
        <w:t>n this context</w:t>
      </w:r>
      <w:r w:rsidR="00982892">
        <w:t xml:space="preserve">, </w:t>
      </w:r>
      <w:r w:rsidR="009D0F32">
        <w:t>‘</w:t>
      </w:r>
      <w:r w:rsidR="00982892">
        <w:t>building owner</w:t>
      </w:r>
      <w:r w:rsidR="009D0F32">
        <w:t>’</w:t>
      </w:r>
      <w:r>
        <w:t xml:space="preserve"> refers to </w:t>
      </w:r>
      <w:r w:rsidR="00CC3E8B">
        <w:t xml:space="preserve">a landlord or </w:t>
      </w:r>
      <w:r>
        <w:t>those with a superior lease of the building.</w:t>
      </w:r>
      <w:r w:rsidR="00A174D3">
        <w:t xml:space="preserve"> </w:t>
      </w:r>
    </w:p>
    <w:p w14:paraId="661259F3" w14:textId="7A845DB7" w:rsidR="0053472A" w:rsidRDefault="5CB1A9FA" w:rsidP="00633473">
      <w:pPr>
        <w:pStyle w:val="StatutoryGuidanceMainText"/>
        <w:numPr>
          <w:ilvl w:val="1"/>
          <w:numId w:val="15"/>
        </w:numPr>
        <w:ind w:left="737" w:hanging="595"/>
        <w:rPr>
          <w:rStyle w:val="normaltextrun"/>
        </w:rPr>
      </w:pPr>
      <w:r>
        <w:t xml:space="preserve">The term </w:t>
      </w:r>
      <w:r w:rsidR="009D0F32">
        <w:t>‘</w:t>
      </w:r>
      <w:r>
        <w:t>landlord</w:t>
      </w:r>
      <w:r w:rsidR="009D0F32">
        <w:t>’</w:t>
      </w:r>
      <w:r>
        <w:t xml:space="preserve"> is used in this </w:t>
      </w:r>
      <w:r w:rsidR="248914E4">
        <w:t>g</w:t>
      </w:r>
      <w:r>
        <w:t xml:space="preserve">uidance in relation to </w:t>
      </w:r>
      <w:r w:rsidR="27197B70">
        <w:t>section 20D, 20E and 20ZA of</w:t>
      </w:r>
      <w:r w:rsidR="248914E4">
        <w:t xml:space="preserve"> </w:t>
      </w:r>
      <w:r w:rsidRPr="211644E5">
        <w:rPr>
          <w:rStyle w:val="normaltextrun"/>
        </w:rPr>
        <w:t>the Landlord and Tenant Act 1985.</w:t>
      </w:r>
      <w:r w:rsidR="6BABAFE7" w:rsidRPr="211644E5">
        <w:rPr>
          <w:rStyle w:val="normaltextrun"/>
        </w:rPr>
        <w:t xml:space="preserve"> </w:t>
      </w:r>
      <w:r w:rsidR="391CE905" w:rsidRPr="211644E5">
        <w:rPr>
          <w:rStyle w:val="normaltextrun"/>
        </w:rPr>
        <w:t xml:space="preserve">In this context, </w:t>
      </w:r>
      <w:r w:rsidR="009D0F32">
        <w:rPr>
          <w:rStyle w:val="normaltextrun"/>
        </w:rPr>
        <w:t>'</w:t>
      </w:r>
      <w:r w:rsidR="5A8756B2" w:rsidRPr="211644E5">
        <w:rPr>
          <w:rStyle w:val="normaltextrun"/>
        </w:rPr>
        <w:t>landlord</w:t>
      </w:r>
      <w:r w:rsidR="009D0F32">
        <w:rPr>
          <w:rStyle w:val="normaltextrun"/>
        </w:rPr>
        <w:t>’</w:t>
      </w:r>
      <w:r w:rsidR="5A8756B2" w:rsidRPr="211644E5">
        <w:rPr>
          <w:rStyle w:val="normaltextrun"/>
        </w:rPr>
        <w:t xml:space="preserve"> includes any person who has a right to enforce payment of a service charge</w:t>
      </w:r>
      <w:r w:rsidR="004377EE">
        <w:rPr>
          <w:rStyle w:val="normaltextrun"/>
        </w:rPr>
        <w:t xml:space="preserve">, </w:t>
      </w:r>
      <w:r w:rsidR="391CE905" w:rsidRPr="211644E5">
        <w:rPr>
          <w:rStyle w:val="normaltextrun"/>
        </w:rPr>
        <w:t>as per section 30 of the Landlord and Tenant Act 1985</w:t>
      </w:r>
      <w:r w:rsidR="5A8756B2" w:rsidRPr="211644E5">
        <w:rPr>
          <w:rStyle w:val="normaltextrun"/>
        </w:rPr>
        <w:t>.</w:t>
      </w:r>
    </w:p>
    <w:p w14:paraId="37341F86" w14:textId="1C4F93C2" w:rsidR="00563287" w:rsidRDefault="00563287" w:rsidP="00633473">
      <w:pPr>
        <w:pStyle w:val="StatutoryGuidanceMainText"/>
        <w:numPr>
          <w:ilvl w:val="1"/>
          <w:numId w:val="15"/>
        </w:numPr>
        <w:ind w:left="737" w:hanging="595"/>
        <w:rPr>
          <w:rStyle w:val="normaltextrun"/>
        </w:rPr>
      </w:pPr>
      <w:r>
        <w:t>For the purposes of this guidance, thi</w:t>
      </w:r>
      <w:r w:rsidR="00690658">
        <w:t xml:space="preserve">rd-party </w:t>
      </w:r>
      <w:r w:rsidR="00220D65">
        <w:t>litigation</w:t>
      </w:r>
      <w:r w:rsidR="00690658">
        <w:t xml:space="preserve"> refers to li</w:t>
      </w:r>
      <w:r w:rsidR="00220D65">
        <w:t xml:space="preserve">tigation by the landlord against the </w:t>
      </w:r>
      <w:r w:rsidRPr="00D55DDF">
        <w:rPr>
          <w:rStyle w:val="normaltextrun"/>
        </w:rPr>
        <w:t>developer or anyone involved in designing or carrying out works on the building</w:t>
      </w:r>
      <w:r>
        <w:rPr>
          <w:rStyle w:val="normaltextrun"/>
        </w:rPr>
        <w:t>.</w:t>
      </w:r>
    </w:p>
    <w:p w14:paraId="7044F08B" w14:textId="11025D74" w:rsidR="00622A87" w:rsidRPr="0053472A" w:rsidRDefault="00622A87" w:rsidP="00633473">
      <w:pPr>
        <w:pStyle w:val="StatutoryGuidanceMainText"/>
        <w:numPr>
          <w:ilvl w:val="1"/>
          <w:numId w:val="15"/>
        </w:numPr>
        <w:ind w:left="737" w:hanging="595"/>
        <w:rPr>
          <w:rStyle w:val="normaltextrun"/>
        </w:rPr>
      </w:pPr>
      <w:r>
        <w:t>F</w:t>
      </w:r>
      <w:r w:rsidRPr="000435C4">
        <w:t>or the purposes of this guidance</w:t>
      </w:r>
      <w:r>
        <w:t xml:space="preserve">, a cost recovery avenue is a potential full or partial </w:t>
      </w:r>
      <w:r w:rsidRPr="000435C4">
        <w:t>funding solution for works</w:t>
      </w:r>
      <w:r>
        <w:t xml:space="preserve">. </w:t>
      </w:r>
    </w:p>
    <w:p w14:paraId="092E6C66" w14:textId="20B85BC0" w:rsidR="00C01CFA" w:rsidRPr="00F51616" w:rsidRDefault="00C01CFA" w:rsidP="00F51616">
      <w:pPr>
        <w:pStyle w:val="NoSpacing"/>
        <w:rPr>
          <w:rFonts w:ascii="Arial" w:hAnsi="Arial" w:cs="Arial"/>
          <w:sz w:val="2"/>
          <w:szCs w:val="2"/>
        </w:rPr>
      </w:pPr>
    </w:p>
    <w:p w14:paraId="298766B8" w14:textId="2FC83696" w:rsidR="00E876D2" w:rsidRDefault="00E876D2" w:rsidP="00E9795A">
      <w:pPr>
        <w:pStyle w:val="Heading1"/>
        <w:ind w:left="142" w:firstLine="0"/>
        <w:rPr>
          <w:rStyle w:val="normaltextrun"/>
        </w:rPr>
      </w:pPr>
      <w:bookmarkStart w:id="10" w:name="_Toc115948281"/>
      <w:r>
        <w:rPr>
          <w:rStyle w:val="normaltextrun"/>
        </w:rPr>
        <w:t xml:space="preserve">Overview of </w:t>
      </w:r>
      <w:r w:rsidR="00C418AC">
        <w:rPr>
          <w:rStyle w:val="normaltextrun"/>
        </w:rPr>
        <w:t>who pays for remediation works</w:t>
      </w:r>
      <w:r w:rsidR="00E9795A">
        <w:rPr>
          <w:rStyle w:val="normaltextrun"/>
        </w:rPr>
        <w:t xml:space="preserve"> and legal expenses</w:t>
      </w:r>
      <w:bookmarkEnd w:id="10"/>
    </w:p>
    <w:p w14:paraId="110E59BD" w14:textId="653ED4D0" w:rsidR="00BE1738" w:rsidRPr="00BE1738" w:rsidRDefault="00700EBC" w:rsidP="00724915">
      <w:pPr>
        <w:pStyle w:val="Heading2"/>
        <w:numPr>
          <w:ilvl w:val="0"/>
          <w:numId w:val="0"/>
        </w:numPr>
        <w:ind w:left="754" w:hanging="612"/>
      </w:pPr>
      <w:bookmarkStart w:id="11" w:name="_Toc109832451"/>
      <w:bookmarkStart w:id="12" w:name="_Toc115948282"/>
      <w:bookmarkEnd w:id="11"/>
      <w:r>
        <w:rPr>
          <w:rStyle w:val="normaltextrun"/>
        </w:rPr>
        <w:t>5</w:t>
      </w:r>
      <w:r w:rsidR="00BE1738">
        <w:rPr>
          <w:rStyle w:val="normaltextrun"/>
        </w:rPr>
        <w:t xml:space="preserve">. </w:t>
      </w:r>
      <w:r w:rsidR="00E90ACD">
        <w:rPr>
          <w:rStyle w:val="normaltextrun"/>
        </w:rPr>
        <w:t>T</w:t>
      </w:r>
      <w:r w:rsidR="00BE1738">
        <w:rPr>
          <w:rStyle w:val="normaltextrun"/>
        </w:rPr>
        <w:t>he leaseholder protections</w:t>
      </w:r>
      <w:bookmarkEnd w:id="12"/>
    </w:p>
    <w:p w14:paraId="15ADA249" w14:textId="555810A9" w:rsidR="00135E57" w:rsidRPr="005609B8" w:rsidRDefault="00135E57" w:rsidP="00135E57">
      <w:pPr>
        <w:pStyle w:val="StatutoryGuidanceMainText"/>
        <w:numPr>
          <w:ilvl w:val="0"/>
          <w:numId w:val="0"/>
        </w:numPr>
        <w:ind w:left="142"/>
        <w:rPr>
          <w:i/>
          <w:iCs/>
          <w:u w:val="single"/>
        </w:rPr>
      </w:pPr>
      <w:r w:rsidRPr="005609B8">
        <w:rPr>
          <w:i/>
          <w:iCs/>
          <w:u w:val="single"/>
        </w:rPr>
        <w:t>Remediation Costs</w:t>
      </w:r>
    </w:p>
    <w:p w14:paraId="75201DC3" w14:textId="62E15A96" w:rsidR="0046593E" w:rsidRDefault="00E90ACD" w:rsidP="00633473">
      <w:pPr>
        <w:pStyle w:val="StatutoryGuidanceMainText"/>
        <w:numPr>
          <w:ilvl w:val="1"/>
          <w:numId w:val="12"/>
        </w:numPr>
        <w:ind w:left="754" w:hanging="612"/>
        <w:rPr>
          <w:rStyle w:val="normaltextrun"/>
        </w:rPr>
      </w:pPr>
      <w:r>
        <w:t xml:space="preserve">Following Royal Assent of the Building Safety Act 2022, </w:t>
      </w:r>
      <w:r>
        <w:rPr>
          <w:rStyle w:val="normaltextrun"/>
        </w:rPr>
        <w:t>m</w:t>
      </w:r>
      <w:r w:rsidR="0002591D">
        <w:rPr>
          <w:rStyle w:val="normaltextrun"/>
        </w:rPr>
        <w:t>any l</w:t>
      </w:r>
      <w:r w:rsidR="0002591D" w:rsidRPr="00007607">
        <w:rPr>
          <w:rStyle w:val="normaltextrun"/>
        </w:rPr>
        <w:t xml:space="preserve">easeholders are </w:t>
      </w:r>
      <w:r w:rsidR="0002591D">
        <w:rPr>
          <w:rStyle w:val="normaltextrun"/>
        </w:rPr>
        <w:t>now</w:t>
      </w:r>
      <w:r w:rsidR="0002591D" w:rsidRPr="00007607">
        <w:rPr>
          <w:rStyle w:val="normaltextrun"/>
        </w:rPr>
        <w:t xml:space="preserve"> protected in law from the financial burden </w:t>
      </w:r>
      <w:r w:rsidR="008B1307">
        <w:rPr>
          <w:rStyle w:val="normaltextrun"/>
        </w:rPr>
        <w:t xml:space="preserve">of </w:t>
      </w:r>
      <w:r w:rsidR="0002591D">
        <w:rPr>
          <w:rStyle w:val="normaltextrun"/>
        </w:rPr>
        <w:t xml:space="preserve">remediating </w:t>
      </w:r>
      <w:r w:rsidR="0002591D" w:rsidRPr="00007607">
        <w:rPr>
          <w:rStyle w:val="normaltextrun"/>
        </w:rPr>
        <w:t>relevant defect</w:t>
      </w:r>
      <w:r w:rsidR="0002591D">
        <w:rPr>
          <w:rStyle w:val="normaltextrun"/>
        </w:rPr>
        <w:t xml:space="preserve">s in </w:t>
      </w:r>
      <w:r w:rsidR="0002591D" w:rsidRPr="00007607">
        <w:rPr>
          <w:rStyle w:val="normaltextrun"/>
        </w:rPr>
        <w:t>relevant building</w:t>
      </w:r>
      <w:r w:rsidR="0002591D">
        <w:rPr>
          <w:rStyle w:val="normaltextrun"/>
        </w:rPr>
        <w:t>s,</w:t>
      </w:r>
      <w:r w:rsidR="0002591D" w:rsidRPr="00007607">
        <w:rPr>
          <w:rStyle w:val="normaltextrun"/>
        </w:rPr>
        <w:t xml:space="preserve"> as per the leaseholder protections definitions</w:t>
      </w:r>
      <w:r w:rsidR="0002591D">
        <w:rPr>
          <w:rStyle w:val="normaltextrun"/>
        </w:rPr>
        <w:t>.</w:t>
      </w:r>
      <w:r w:rsidR="00B65A20">
        <w:rPr>
          <w:rStyle w:val="normaltextrun"/>
        </w:rPr>
        <w:t xml:space="preserve"> </w:t>
      </w:r>
      <w:r w:rsidR="04D859A1">
        <w:t>Further g</w:t>
      </w:r>
      <w:r w:rsidR="4873AE10">
        <w:t xml:space="preserve">uidance on the leaseholder protections can be found </w:t>
      </w:r>
      <w:hyperlink r:id="rId13">
        <w:r w:rsidR="4873AE10" w:rsidRPr="00EA0121">
          <w:rPr>
            <w:rStyle w:val="Hyperlink"/>
            <w:color w:val="0000FF"/>
          </w:rPr>
          <w:t>here</w:t>
        </w:r>
      </w:hyperlink>
      <w:r w:rsidR="4873AE10" w:rsidRPr="00EA0121">
        <w:rPr>
          <w:rStyle w:val="Hyperlink"/>
        </w:rPr>
        <w:t>.</w:t>
      </w:r>
      <w:r w:rsidR="4873AE10" w:rsidRPr="28C5671C">
        <w:rPr>
          <w:rStyle w:val="Hyperlink"/>
        </w:rPr>
        <w:t xml:space="preserve"> </w:t>
      </w:r>
    </w:p>
    <w:p w14:paraId="55013AD8" w14:textId="7A5D2952" w:rsidR="00193085" w:rsidRDefault="00917F37" w:rsidP="00633473">
      <w:pPr>
        <w:pStyle w:val="StatutoryGuidanceMainText"/>
        <w:numPr>
          <w:ilvl w:val="1"/>
          <w:numId w:val="11"/>
        </w:numPr>
        <w:ind w:left="754" w:hanging="612"/>
        <w:rPr>
          <w:rStyle w:val="normaltextrun"/>
        </w:rPr>
      </w:pPr>
      <w:bookmarkStart w:id="13" w:name="_Toc109832439"/>
      <w:r w:rsidRPr="00007607">
        <w:rPr>
          <w:rStyle w:val="normaltextrun"/>
        </w:rPr>
        <w:t>The protections mean that where a landlord is – or is linked to - the developer responsible for a relevant defect, they cannot legally pass on remediation costs to any of their leaseholders.</w:t>
      </w:r>
      <w:r w:rsidR="00193085">
        <w:rPr>
          <w:rStyle w:val="normaltextrun"/>
        </w:rPr>
        <w:t xml:space="preserve"> </w:t>
      </w:r>
    </w:p>
    <w:p w14:paraId="52E5ECEA" w14:textId="7ADBC782" w:rsidR="00917F37" w:rsidRPr="00007607" w:rsidRDefault="00917F37" w:rsidP="00633473">
      <w:pPr>
        <w:pStyle w:val="StatutoryGuidanceMainText"/>
        <w:numPr>
          <w:ilvl w:val="1"/>
          <w:numId w:val="11"/>
        </w:numPr>
        <w:ind w:left="754" w:hanging="612"/>
        <w:rPr>
          <w:rStyle w:val="normaltextrun"/>
        </w:rPr>
      </w:pPr>
      <w:r w:rsidRPr="00007607">
        <w:rPr>
          <w:rStyle w:val="normaltextrun"/>
        </w:rPr>
        <w:t>The protections also mean that where a leaseholder has a qualifying lease, their landlord cannot pass on any costs</w:t>
      </w:r>
      <w:r w:rsidR="00DF1A95">
        <w:rPr>
          <w:rStyle w:val="normaltextrun"/>
        </w:rPr>
        <w:t xml:space="preserve"> associated with remediation of a relevant defect</w:t>
      </w:r>
      <w:r w:rsidRPr="00007607">
        <w:rPr>
          <w:rStyle w:val="normaltextrun"/>
        </w:rPr>
        <w:t xml:space="preserve"> in circumstances where:</w:t>
      </w:r>
    </w:p>
    <w:p w14:paraId="59BE9FA7" w14:textId="77777777" w:rsidR="00917F37" w:rsidRPr="00007607" w:rsidRDefault="00917F37" w:rsidP="00633473">
      <w:pPr>
        <w:pStyle w:val="StatutoryGuidanceMainText"/>
        <w:numPr>
          <w:ilvl w:val="2"/>
          <w:numId w:val="11"/>
        </w:numPr>
        <w:rPr>
          <w:rStyle w:val="normaltextrun"/>
        </w:rPr>
      </w:pPr>
      <w:r w:rsidRPr="00007607">
        <w:rPr>
          <w:rStyle w:val="normaltextrun"/>
        </w:rPr>
        <w:t>The costs are associated with the remediation of unsafe cladding systems</w:t>
      </w:r>
    </w:p>
    <w:p w14:paraId="7D2F9512" w14:textId="6836E95A" w:rsidR="00F348AC" w:rsidRPr="00F348AC" w:rsidRDefault="00917F37" w:rsidP="00633473">
      <w:pPr>
        <w:pStyle w:val="StatutoryGuidanceMainText"/>
        <w:numPr>
          <w:ilvl w:val="2"/>
          <w:numId w:val="11"/>
        </w:numPr>
        <w:rPr>
          <w:rStyle w:val="normaltextrun"/>
        </w:rPr>
      </w:pPr>
      <w:r w:rsidRPr="5071EA68">
        <w:rPr>
          <w:rStyle w:val="normaltextrun"/>
          <w:rFonts w:eastAsiaTheme="minorEastAsia"/>
        </w:rPr>
        <w:t>Their</w:t>
      </w:r>
      <w:r w:rsidR="006F5545" w:rsidRPr="5071EA68">
        <w:rPr>
          <w:rStyle w:val="normaltextrun"/>
          <w:rFonts w:eastAsiaTheme="minorEastAsia"/>
        </w:rPr>
        <w:t xml:space="preserve"> </w:t>
      </w:r>
      <w:r w:rsidR="07264218" w:rsidRPr="28C5671C">
        <w:rPr>
          <w:rStyle w:val="normaltextrun"/>
          <w:rFonts w:eastAsiaTheme="minorEastAsia"/>
        </w:rPr>
        <w:t>landlord group have a net worth</w:t>
      </w:r>
      <w:r w:rsidR="35E135AE" w:rsidRPr="28C5671C">
        <w:rPr>
          <w:rStyle w:val="normaltextrun"/>
          <w:rFonts w:eastAsiaTheme="minorEastAsia"/>
        </w:rPr>
        <w:t xml:space="preserve"> of</w:t>
      </w:r>
      <w:r w:rsidR="37C0004D" w:rsidRPr="28C5671C">
        <w:rPr>
          <w:rStyle w:val="normaltextrun"/>
          <w:rFonts w:eastAsiaTheme="minorEastAsia"/>
        </w:rPr>
        <w:t xml:space="preserve"> more than</w:t>
      </w:r>
      <w:r w:rsidR="35E135AE" w:rsidRPr="28C5671C">
        <w:rPr>
          <w:rStyle w:val="normaltextrun"/>
          <w:rFonts w:eastAsiaTheme="minorEastAsia"/>
        </w:rPr>
        <w:t xml:space="preserve"> £2 million per relevant building</w:t>
      </w:r>
      <w:r w:rsidRPr="5071EA68">
        <w:rPr>
          <w:rStyle w:val="normaltextrun"/>
          <w:rFonts w:eastAsiaTheme="minorEastAsia"/>
        </w:rPr>
        <w:t xml:space="preserve"> (</w:t>
      </w:r>
      <w:proofErr w:type="gramStart"/>
      <w:r w:rsidRPr="5071EA68">
        <w:rPr>
          <w:rStyle w:val="normaltextrun"/>
          <w:rFonts w:eastAsiaTheme="minorEastAsia"/>
        </w:rPr>
        <w:t>with the exception of</w:t>
      </w:r>
      <w:proofErr w:type="gramEnd"/>
      <w:r w:rsidRPr="5071EA68">
        <w:rPr>
          <w:rStyle w:val="normaltextrun"/>
          <w:rFonts w:eastAsiaTheme="minorEastAsia"/>
        </w:rPr>
        <w:t xml:space="preserve"> </w:t>
      </w:r>
      <w:r w:rsidR="007856C1" w:rsidRPr="5071EA68">
        <w:rPr>
          <w:rStyle w:val="normaltextrun"/>
          <w:rFonts w:eastAsiaTheme="minorEastAsia"/>
        </w:rPr>
        <w:t>housing</w:t>
      </w:r>
      <w:r w:rsidRPr="5071EA68">
        <w:rPr>
          <w:rStyle w:val="normaltextrun"/>
          <w:rFonts w:eastAsiaTheme="minorEastAsia"/>
        </w:rPr>
        <w:t xml:space="preserve"> associations</w:t>
      </w:r>
      <w:r w:rsidR="00FC0E60" w:rsidRPr="5071EA68">
        <w:rPr>
          <w:rStyle w:val="normaltextrun"/>
          <w:rFonts w:eastAsiaTheme="minorEastAsia"/>
        </w:rPr>
        <w:t>,</w:t>
      </w:r>
      <w:r w:rsidRPr="5071EA68">
        <w:rPr>
          <w:rStyle w:val="normaltextrun"/>
          <w:rFonts w:eastAsiaTheme="minorEastAsia"/>
        </w:rPr>
        <w:t xml:space="preserve"> local </w:t>
      </w:r>
      <w:r w:rsidR="00F348AC" w:rsidRPr="5071EA68">
        <w:rPr>
          <w:rStyle w:val="normaltextrun"/>
          <w:rFonts w:eastAsiaTheme="minorEastAsia"/>
        </w:rPr>
        <w:t>authorities</w:t>
      </w:r>
      <w:r w:rsidR="00FC0E60" w:rsidRPr="5071EA68">
        <w:rPr>
          <w:rStyle w:val="normaltextrun"/>
          <w:rFonts w:eastAsiaTheme="minorEastAsia"/>
        </w:rPr>
        <w:t xml:space="preserve"> and arms-length management organisations</w:t>
      </w:r>
      <w:r w:rsidR="00F348AC" w:rsidRPr="5071EA68">
        <w:rPr>
          <w:rStyle w:val="normaltextrun"/>
          <w:rFonts w:eastAsiaTheme="minorEastAsia"/>
        </w:rPr>
        <w:t xml:space="preserve">) </w:t>
      </w:r>
    </w:p>
    <w:p w14:paraId="6C330CBF" w14:textId="6250F4A4" w:rsidR="00917F37" w:rsidRPr="00007607" w:rsidRDefault="00917F37" w:rsidP="00633473">
      <w:pPr>
        <w:pStyle w:val="StatutoryGuidanceMainText"/>
        <w:numPr>
          <w:ilvl w:val="2"/>
          <w:numId w:val="11"/>
        </w:numPr>
        <w:rPr>
          <w:rStyle w:val="normaltextrun"/>
        </w:rPr>
      </w:pPr>
      <w:r w:rsidRPr="5071EA68">
        <w:rPr>
          <w:rStyle w:val="normaltextrun"/>
          <w:rFonts w:eastAsiaTheme="minorEastAsia"/>
        </w:rPr>
        <w:t xml:space="preserve">The value of their lease on 14 February 2022 was less than £325,000 in Greater London </w:t>
      </w:r>
      <w:r w:rsidR="0075189D" w:rsidRPr="5071EA68">
        <w:rPr>
          <w:rStyle w:val="normaltextrun"/>
          <w:rFonts w:eastAsiaTheme="minorEastAsia"/>
        </w:rPr>
        <w:t>or</w:t>
      </w:r>
      <w:r w:rsidRPr="5071EA68">
        <w:rPr>
          <w:rStyle w:val="normaltextrun"/>
          <w:rFonts w:eastAsiaTheme="minorEastAsia"/>
        </w:rPr>
        <w:t xml:space="preserve"> £175,000 </w:t>
      </w:r>
      <w:r w:rsidRPr="006F722B">
        <w:rPr>
          <w:rStyle w:val="normaltextrun"/>
          <w:rFonts w:eastAsia="Arial"/>
        </w:rPr>
        <w:t>elsewhere in England</w:t>
      </w:r>
    </w:p>
    <w:p w14:paraId="6AEF11EE" w14:textId="42115756" w:rsidR="006C66B2" w:rsidRDefault="006C66B2" w:rsidP="00633473">
      <w:pPr>
        <w:pStyle w:val="StatutoryGuidanceMainText"/>
        <w:numPr>
          <w:ilvl w:val="1"/>
          <w:numId w:val="11"/>
        </w:numPr>
        <w:ind w:left="754" w:hanging="612"/>
        <w:rPr>
          <w:rStyle w:val="normaltextrun"/>
        </w:rPr>
      </w:pPr>
      <w:r w:rsidRPr="00007607">
        <w:rPr>
          <w:rStyle w:val="normaltextrun"/>
        </w:rPr>
        <w:t xml:space="preserve">If </w:t>
      </w:r>
      <w:r>
        <w:rPr>
          <w:rStyle w:val="normaltextrun"/>
        </w:rPr>
        <w:t xml:space="preserve">none of </w:t>
      </w:r>
      <w:r w:rsidRPr="00007607">
        <w:rPr>
          <w:rStyle w:val="normaltextrun"/>
        </w:rPr>
        <w:t xml:space="preserve">the conditions outlined in </w:t>
      </w:r>
      <w:r w:rsidRPr="00F72FF7">
        <w:rPr>
          <w:rStyle w:val="normaltextrun"/>
        </w:rPr>
        <w:t xml:space="preserve">paragraphs </w:t>
      </w:r>
      <w:r w:rsidR="004B4C20" w:rsidRPr="00F72FF7">
        <w:rPr>
          <w:rStyle w:val="normaltextrun"/>
        </w:rPr>
        <w:t xml:space="preserve">5.1, </w:t>
      </w:r>
      <w:r w:rsidR="002E7C8F" w:rsidRPr="00F72FF7">
        <w:rPr>
          <w:rStyle w:val="normaltextrun"/>
        </w:rPr>
        <w:t>5</w:t>
      </w:r>
      <w:r w:rsidRPr="00F72FF7">
        <w:rPr>
          <w:rStyle w:val="normaltextrun"/>
        </w:rPr>
        <w:t>.</w:t>
      </w:r>
      <w:r w:rsidR="004B4C20" w:rsidRPr="00F72FF7">
        <w:rPr>
          <w:rStyle w:val="normaltextrun"/>
        </w:rPr>
        <w:t>2</w:t>
      </w:r>
      <w:r w:rsidRPr="00F72FF7">
        <w:rPr>
          <w:rStyle w:val="normaltextrun"/>
        </w:rPr>
        <w:t xml:space="preserve">.1, </w:t>
      </w:r>
      <w:r w:rsidR="002E7C8F" w:rsidRPr="00F72FF7">
        <w:rPr>
          <w:rStyle w:val="normaltextrun"/>
        </w:rPr>
        <w:t>5</w:t>
      </w:r>
      <w:r w:rsidRPr="00F72FF7">
        <w:rPr>
          <w:rStyle w:val="normaltextrun"/>
        </w:rPr>
        <w:t>.</w:t>
      </w:r>
      <w:r w:rsidR="004B4C20" w:rsidRPr="00F72FF7">
        <w:rPr>
          <w:rStyle w:val="normaltextrun"/>
        </w:rPr>
        <w:t>2</w:t>
      </w:r>
      <w:r w:rsidRPr="00F72FF7">
        <w:rPr>
          <w:rStyle w:val="normaltextrun"/>
        </w:rPr>
        <w:t xml:space="preserve">.2 and </w:t>
      </w:r>
      <w:r w:rsidR="002E7C8F" w:rsidRPr="00F72FF7">
        <w:rPr>
          <w:rStyle w:val="normaltextrun"/>
        </w:rPr>
        <w:t>5</w:t>
      </w:r>
      <w:r w:rsidRPr="00F72FF7">
        <w:rPr>
          <w:rStyle w:val="normaltextrun"/>
        </w:rPr>
        <w:t>.</w:t>
      </w:r>
      <w:r w:rsidR="004B4C20" w:rsidRPr="00F72FF7">
        <w:rPr>
          <w:rStyle w:val="normaltextrun"/>
        </w:rPr>
        <w:t>2</w:t>
      </w:r>
      <w:r w:rsidRPr="00F72FF7">
        <w:rPr>
          <w:rStyle w:val="normaltextrun"/>
        </w:rPr>
        <w:t xml:space="preserve">.3 are met, then the building owner </w:t>
      </w:r>
      <w:r w:rsidR="00471134" w:rsidRPr="00F72FF7">
        <w:rPr>
          <w:rStyle w:val="normaltextrun"/>
        </w:rPr>
        <w:t>may be</w:t>
      </w:r>
      <w:r w:rsidRPr="00F72FF7">
        <w:rPr>
          <w:rStyle w:val="normaltextrun"/>
        </w:rPr>
        <w:t xml:space="preserve"> able to pass on remediation costs to their leaseholders</w:t>
      </w:r>
      <w:r w:rsidR="47C38DED" w:rsidRPr="00F72FF7">
        <w:rPr>
          <w:rStyle w:val="normaltextrun"/>
        </w:rPr>
        <w:t>. T</w:t>
      </w:r>
      <w:r w:rsidRPr="00F72FF7">
        <w:rPr>
          <w:rStyle w:val="normaltextrun"/>
        </w:rPr>
        <w:t>his amount is firmly capped for qualifying leaseholders</w:t>
      </w:r>
      <w:r w:rsidR="0E61A430" w:rsidRPr="00F72FF7">
        <w:rPr>
          <w:rStyle w:val="normaltextrun"/>
        </w:rPr>
        <w:t xml:space="preserve">. </w:t>
      </w:r>
    </w:p>
    <w:p w14:paraId="4B88FB7F" w14:textId="52BA2C0D" w:rsidR="002C18DE" w:rsidRDefault="002C18DE" w:rsidP="00633473">
      <w:pPr>
        <w:pStyle w:val="StatutoryGuidanceMainText"/>
        <w:numPr>
          <w:ilvl w:val="1"/>
          <w:numId w:val="11"/>
        </w:numPr>
        <w:ind w:left="754" w:hanging="612"/>
      </w:pPr>
      <w:r w:rsidRPr="5071EA68">
        <w:rPr>
          <w:rStyle w:val="normaltextrun"/>
        </w:rPr>
        <w:t xml:space="preserve">In circumstances where the </w:t>
      </w:r>
      <w:r w:rsidR="3A052F1C" w:rsidRPr="5071EA68">
        <w:rPr>
          <w:rStyle w:val="normaltextrun"/>
        </w:rPr>
        <w:t xml:space="preserve">landlord </w:t>
      </w:r>
      <w:proofErr w:type="gramStart"/>
      <w:r w:rsidRPr="5071EA68">
        <w:rPr>
          <w:rStyle w:val="normaltextrun"/>
        </w:rPr>
        <w:t>is able to</w:t>
      </w:r>
      <w:proofErr w:type="gramEnd"/>
      <w:r w:rsidRPr="5071EA68">
        <w:rPr>
          <w:rStyle w:val="normaltextrun"/>
        </w:rPr>
        <w:t xml:space="preserve"> pass on remediation costs to their leaseholders (both qualifying and non-qualifying), they must comply with the requirements </w:t>
      </w:r>
      <w:r w:rsidRPr="00F72FF7">
        <w:rPr>
          <w:rStyle w:val="normaltextrun"/>
        </w:rPr>
        <w:t>in new section 20D, 20E, and amended section</w:t>
      </w:r>
      <w:r w:rsidRPr="00F72FF7">
        <w:t xml:space="preserve"> 20ZA of the Landlord and Tenant Act </w:t>
      </w:r>
      <w:r w:rsidR="7151B2C6" w:rsidRPr="00F72FF7">
        <w:t>198</w:t>
      </w:r>
      <w:r w:rsidR="5CED2005" w:rsidRPr="00F72FF7">
        <w:t>5</w:t>
      </w:r>
      <w:r w:rsidR="7FBFC18C" w:rsidRPr="00F72FF7">
        <w:t xml:space="preserve">, </w:t>
      </w:r>
      <w:r w:rsidRPr="00F72FF7">
        <w:t xml:space="preserve">as inserted by </w:t>
      </w:r>
      <w:r w:rsidR="007C7A54" w:rsidRPr="00F72FF7">
        <w:t>section 133 of the Building Safety Act 2022</w:t>
      </w:r>
      <w:r w:rsidRPr="00F72FF7">
        <w:t xml:space="preserve">. More information on these requirements can be found in section </w:t>
      </w:r>
      <w:r w:rsidR="00774411" w:rsidRPr="00F72FF7">
        <w:t>6</w:t>
      </w:r>
      <w:r w:rsidRPr="00F72FF7">
        <w:t xml:space="preserve"> of this guidance.</w:t>
      </w:r>
    </w:p>
    <w:p w14:paraId="756F2A0B" w14:textId="221CF329" w:rsidR="005609B8" w:rsidRPr="005609B8" w:rsidRDefault="005609B8" w:rsidP="005609B8">
      <w:pPr>
        <w:pStyle w:val="StatutoryGuidanceMainText"/>
        <w:numPr>
          <w:ilvl w:val="0"/>
          <w:numId w:val="0"/>
        </w:numPr>
        <w:ind w:left="142"/>
        <w:rPr>
          <w:rStyle w:val="normaltextrun"/>
          <w:i/>
          <w:iCs/>
          <w:u w:val="single"/>
        </w:rPr>
      </w:pPr>
      <w:r w:rsidRPr="005609B8">
        <w:rPr>
          <w:i/>
          <w:iCs/>
          <w:u w:val="single"/>
        </w:rPr>
        <w:t>Legal Expenses</w:t>
      </w:r>
    </w:p>
    <w:p w14:paraId="0694A30B" w14:textId="6B67E60E" w:rsidR="5BB6DC78" w:rsidRDefault="5BB6DC78" w:rsidP="00633473">
      <w:pPr>
        <w:pStyle w:val="StatutoryGuidanceMainText"/>
        <w:numPr>
          <w:ilvl w:val="1"/>
          <w:numId w:val="11"/>
        </w:numPr>
        <w:ind w:left="754" w:hanging="612"/>
        <w:rPr>
          <w:rStyle w:val="normaltextrun"/>
        </w:rPr>
      </w:pPr>
      <w:r>
        <w:t>The landlord should note that</w:t>
      </w:r>
      <w:r w:rsidR="00CF632A">
        <w:t>,</w:t>
      </w:r>
      <w:r>
        <w:t xml:space="preserve"> under schedule 8 of the Building Safety Act 2022, any legal expenses relating to the liability - or potential liability - incurred </w:t>
      </w:r>
      <w:proofErr w:type="gramStart"/>
      <w:r>
        <w:t>as a result of</w:t>
      </w:r>
      <w:proofErr w:type="gramEnd"/>
      <w:r>
        <w:t xml:space="preserve"> a relevant defect </w:t>
      </w:r>
      <w:r w:rsidR="00942960">
        <w:t>can</w:t>
      </w:r>
      <w:r w:rsidR="00F03121">
        <w:t>not</w:t>
      </w:r>
      <w:r>
        <w:t xml:space="preserve"> be passed onto any leaseholder with a qualifying lease through the service charge.</w:t>
      </w:r>
      <w:r w:rsidRPr="28C5671C">
        <w:rPr>
          <w:rStyle w:val="normaltextrun"/>
        </w:rPr>
        <w:t xml:space="preserve"> For this purpose, “legal expenses” means any costs incurred, or to be incurred in connection with</w:t>
      </w:r>
      <w:r w:rsidR="003D37C4" w:rsidRPr="00193085">
        <w:rPr>
          <w:rStyle w:val="normaltextrun"/>
        </w:rPr>
        <w:t>:</w:t>
      </w:r>
      <w:r w:rsidRPr="28C5671C">
        <w:rPr>
          <w:rStyle w:val="normaltextrun"/>
        </w:rPr>
        <w:t xml:space="preserve"> </w:t>
      </w:r>
    </w:p>
    <w:p w14:paraId="2F5DCC22" w14:textId="57DFF32F" w:rsidR="5BB6DC78" w:rsidRDefault="00F07502" w:rsidP="00633473">
      <w:pPr>
        <w:pStyle w:val="StatutoryGuidanceMainText"/>
        <w:numPr>
          <w:ilvl w:val="2"/>
          <w:numId w:val="11"/>
        </w:numPr>
        <w:rPr>
          <w:rStyle w:val="normaltextrun"/>
          <w:rFonts w:eastAsia="Arial"/>
        </w:rPr>
      </w:pPr>
      <w:r>
        <w:rPr>
          <w:rStyle w:val="normaltextrun"/>
          <w:rFonts w:eastAsia="Arial"/>
        </w:rPr>
        <w:t>O</w:t>
      </w:r>
      <w:r w:rsidR="5BB6DC78" w:rsidRPr="20C04F4C">
        <w:rPr>
          <w:rStyle w:val="normaltextrun"/>
          <w:rFonts w:eastAsia="Arial"/>
        </w:rPr>
        <w:t xml:space="preserve">btaining legal advice </w:t>
      </w:r>
    </w:p>
    <w:p w14:paraId="34A01352" w14:textId="0A3EC200" w:rsidR="5BB6DC78" w:rsidRDefault="00F07502" w:rsidP="00633473">
      <w:pPr>
        <w:pStyle w:val="StatutoryGuidanceMainText"/>
        <w:numPr>
          <w:ilvl w:val="2"/>
          <w:numId w:val="11"/>
        </w:numPr>
        <w:rPr>
          <w:rStyle w:val="normaltextrun"/>
          <w:rFonts w:eastAsia="Arial"/>
        </w:rPr>
      </w:pPr>
      <w:r>
        <w:rPr>
          <w:rStyle w:val="normaltextrun"/>
          <w:rFonts w:eastAsia="Arial"/>
        </w:rPr>
        <w:t>A</w:t>
      </w:r>
      <w:r w:rsidR="5BB6DC78" w:rsidRPr="20C04F4C">
        <w:rPr>
          <w:rStyle w:val="normaltextrun"/>
          <w:rFonts w:eastAsia="Arial"/>
        </w:rPr>
        <w:t xml:space="preserve">ny proceedings before a court or tribunal </w:t>
      </w:r>
    </w:p>
    <w:p w14:paraId="542FECCB" w14:textId="6DE8A8D9" w:rsidR="5BB6DC78" w:rsidRDefault="00F07502" w:rsidP="00633473">
      <w:pPr>
        <w:pStyle w:val="StatutoryGuidanceMainText"/>
        <w:numPr>
          <w:ilvl w:val="2"/>
          <w:numId w:val="11"/>
        </w:numPr>
        <w:rPr>
          <w:rStyle w:val="normaltextrun"/>
          <w:rFonts w:eastAsia="Arial"/>
        </w:rPr>
      </w:pPr>
      <w:r>
        <w:rPr>
          <w:rStyle w:val="normaltextrun"/>
          <w:rFonts w:eastAsia="Arial"/>
        </w:rPr>
        <w:t>A</w:t>
      </w:r>
      <w:r w:rsidR="5BB6DC78" w:rsidRPr="20C04F4C">
        <w:rPr>
          <w:rStyle w:val="normaltextrun"/>
          <w:rFonts w:eastAsia="Arial"/>
        </w:rPr>
        <w:t xml:space="preserve">rbitration </w:t>
      </w:r>
    </w:p>
    <w:p w14:paraId="657FAD56" w14:textId="1F1B7CB8" w:rsidR="00316DFD" w:rsidRDefault="00F07502" w:rsidP="00633473">
      <w:pPr>
        <w:pStyle w:val="StatutoryGuidanceMainText"/>
        <w:numPr>
          <w:ilvl w:val="2"/>
          <w:numId w:val="11"/>
        </w:numPr>
        <w:rPr>
          <w:rStyle w:val="normaltextrun"/>
          <w:rFonts w:eastAsia="Arial"/>
        </w:rPr>
      </w:pPr>
      <w:r>
        <w:rPr>
          <w:rStyle w:val="normaltextrun"/>
          <w:rFonts w:eastAsia="Arial"/>
        </w:rPr>
        <w:lastRenderedPageBreak/>
        <w:t>M</w:t>
      </w:r>
      <w:r w:rsidR="5BB6DC78" w:rsidRPr="20C04F4C">
        <w:rPr>
          <w:rStyle w:val="normaltextrun"/>
          <w:rFonts w:eastAsia="Arial"/>
        </w:rPr>
        <w:t>ediation</w:t>
      </w:r>
    </w:p>
    <w:p w14:paraId="28D6A68E" w14:textId="7413DC3D" w:rsidR="007A3872" w:rsidRDefault="00DE39B5" w:rsidP="00633473">
      <w:pPr>
        <w:pStyle w:val="StatutoryGuidanceMainText"/>
        <w:numPr>
          <w:ilvl w:val="1"/>
          <w:numId w:val="11"/>
        </w:numPr>
        <w:ind w:left="754" w:hanging="612"/>
      </w:pPr>
      <w:r w:rsidRPr="00DE39B5">
        <w:t>Non-qualifying leaseholders may be liable for legal costs</w:t>
      </w:r>
      <w:r w:rsidR="002C6518">
        <w:t xml:space="preserve"> incurred </w:t>
      </w:r>
      <w:proofErr w:type="gramStart"/>
      <w:r w:rsidR="002C6518">
        <w:t>as a result of</w:t>
      </w:r>
      <w:proofErr w:type="gramEnd"/>
      <w:r w:rsidR="002C6518">
        <w:t xml:space="preserve"> a relevant defect</w:t>
      </w:r>
      <w:r w:rsidRPr="00DE39B5">
        <w:t>, as per the terms of their individual lease.</w:t>
      </w:r>
      <w:r>
        <w:t xml:space="preserve"> </w:t>
      </w:r>
      <w:r w:rsidR="002C6518">
        <w:t>The landlord should note that</w:t>
      </w:r>
      <w:r w:rsidR="00CF632A">
        <w:t>, under</w:t>
      </w:r>
      <w:r w:rsidR="00FA0472">
        <w:t xml:space="preserve"> schedule </w:t>
      </w:r>
      <w:r w:rsidR="00617A1E">
        <w:t>8</w:t>
      </w:r>
      <w:r w:rsidR="00FA0472">
        <w:t xml:space="preserve"> of the Building Safety Act 2022, </w:t>
      </w:r>
      <w:r w:rsidR="00EF139E">
        <w:t xml:space="preserve">non-qualifying leaseholders are not liable </w:t>
      </w:r>
      <w:r w:rsidR="00F96423">
        <w:t xml:space="preserve">to account for the </w:t>
      </w:r>
      <w:r w:rsidR="00AE175E">
        <w:t xml:space="preserve">legal expenses which are unrecoverable from </w:t>
      </w:r>
      <w:r w:rsidR="007A3872">
        <w:t>qualifying leaseholders.</w:t>
      </w:r>
    </w:p>
    <w:p w14:paraId="528887E2" w14:textId="77777777" w:rsidR="002C18DE" w:rsidRPr="00C004F7" w:rsidRDefault="002C18DE" w:rsidP="007A3872">
      <w:pPr>
        <w:pStyle w:val="NoSpacing"/>
        <w:rPr>
          <w:rStyle w:val="normaltextrun"/>
        </w:rPr>
      </w:pPr>
    </w:p>
    <w:p w14:paraId="3DC02C18" w14:textId="0D0E5BDD" w:rsidR="00BA619A" w:rsidRPr="00994975" w:rsidRDefault="00700EBC" w:rsidP="00BA619A">
      <w:pPr>
        <w:pStyle w:val="Heading2"/>
        <w:numPr>
          <w:ilvl w:val="0"/>
          <w:numId w:val="0"/>
        </w:numPr>
        <w:rPr>
          <w:rStyle w:val="normaltextrun"/>
          <w:rFonts w:cs="Arial"/>
        </w:rPr>
      </w:pPr>
      <w:bookmarkStart w:id="14" w:name="_Toc109832437"/>
      <w:bookmarkStart w:id="15" w:name="_Toc115948283"/>
      <w:bookmarkStart w:id="16" w:name="_Toc109832442"/>
      <w:bookmarkEnd w:id="13"/>
      <w:bookmarkEnd w:id="14"/>
      <w:r>
        <w:rPr>
          <w:rStyle w:val="normaltextrun"/>
          <w:rFonts w:cs="Arial"/>
        </w:rPr>
        <w:t>6</w:t>
      </w:r>
      <w:r w:rsidR="00703B45">
        <w:rPr>
          <w:rStyle w:val="normaltextrun"/>
          <w:rFonts w:cs="Arial"/>
        </w:rPr>
        <w:t>.</w:t>
      </w:r>
      <w:r w:rsidR="009559F6">
        <w:rPr>
          <w:rStyle w:val="normaltextrun"/>
          <w:rFonts w:cs="Arial"/>
        </w:rPr>
        <w:t xml:space="preserve"> T</w:t>
      </w:r>
      <w:r w:rsidR="00BA619A">
        <w:rPr>
          <w:rStyle w:val="normaltextrun"/>
          <w:rFonts w:cs="Arial"/>
        </w:rPr>
        <w:t xml:space="preserve">he new requirements </w:t>
      </w:r>
      <w:r w:rsidR="00AB1FFF">
        <w:rPr>
          <w:rStyle w:val="normaltextrun"/>
          <w:rFonts w:cs="Arial"/>
        </w:rPr>
        <w:t xml:space="preserve">on landlords before they </w:t>
      </w:r>
      <w:r w:rsidR="00DF355F">
        <w:rPr>
          <w:rStyle w:val="normaltextrun"/>
          <w:rFonts w:cs="Arial"/>
        </w:rPr>
        <w:t>can pass remediation costs onto leaseholders</w:t>
      </w:r>
      <w:bookmarkEnd w:id="15"/>
      <w:r w:rsidR="00DF355F">
        <w:rPr>
          <w:rStyle w:val="normaltextrun"/>
          <w:rFonts w:cs="Arial"/>
        </w:rPr>
        <w:t xml:space="preserve"> </w:t>
      </w:r>
      <w:bookmarkStart w:id="17" w:name="_Toc109832443"/>
      <w:bookmarkEnd w:id="16"/>
    </w:p>
    <w:p w14:paraId="4477D3CC" w14:textId="24165E64" w:rsidR="00B844AF" w:rsidRDefault="00D0103A" w:rsidP="00633473">
      <w:pPr>
        <w:pStyle w:val="StatutoryGuidanceMainText"/>
        <w:numPr>
          <w:ilvl w:val="1"/>
          <w:numId w:val="13"/>
        </w:numPr>
        <w:ind w:left="754" w:hanging="612"/>
        <w:rPr>
          <w:rStyle w:val="normaltextrun"/>
        </w:rPr>
      </w:pPr>
      <w:bookmarkStart w:id="18" w:name="_Toc109834637"/>
      <w:bookmarkStart w:id="19" w:name="_Toc109903901"/>
      <w:bookmarkStart w:id="20" w:name="_Toc109982529"/>
      <w:bookmarkStart w:id="21" w:name="_Toc111414950"/>
      <w:r w:rsidRPr="00FE1BD7">
        <w:rPr>
          <w:rStyle w:val="normaltextrun"/>
        </w:rPr>
        <w:t>Section 133 of the Building Safety Act 2022 amends the Landlord and Tenant Act 1985, inserting new section 20D, 20E, and amending section</w:t>
      </w:r>
      <w:r w:rsidRPr="00FE1BD7">
        <w:t xml:space="preserve"> 20ZA</w:t>
      </w:r>
      <w:r w:rsidRPr="00FE1BD7">
        <w:rPr>
          <w:rStyle w:val="normaltextrun"/>
        </w:rPr>
        <w:t>. The</w:t>
      </w:r>
      <w:r>
        <w:rPr>
          <w:rStyle w:val="normaltextrun"/>
        </w:rPr>
        <w:t xml:space="preserve"> new </w:t>
      </w:r>
      <w:r w:rsidRPr="00FE1BD7">
        <w:rPr>
          <w:rStyle w:val="normaltextrun"/>
        </w:rPr>
        <w:t xml:space="preserve">provisions </w:t>
      </w:r>
      <w:r w:rsidR="00B63871">
        <w:rPr>
          <w:rStyle w:val="normaltextrun"/>
        </w:rPr>
        <w:t>require</w:t>
      </w:r>
      <w:r w:rsidRPr="00FE1BD7">
        <w:rPr>
          <w:rStyle w:val="normaltextrun"/>
        </w:rPr>
        <w:t xml:space="preserve"> that the landlord must take reasonable steps to</w:t>
      </w:r>
      <w:r w:rsidR="00BD06E8">
        <w:rPr>
          <w:rStyle w:val="normaltextrun"/>
        </w:rPr>
        <w:t xml:space="preserve"> </w:t>
      </w:r>
      <w:r w:rsidR="00BD06E8" w:rsidRPr="00331387">
        <w:rPr>
          <w:rStyle w:val="normaltextrun"/>
        </w:rPr>
        <w:t xml:space="preserve">ensure that they </w:t>
      </w:r>
      <w:r w:rsidR="00BD06E8">
        <w:rPr>
          <w:rStyle w:val="normaltextrun"/>
        </w:rPr>
        <w:t xml:space="preserve">have </w:t>
      </w:r>
      <w:r w:rsidR="00BD06E8" w:rsidRPr="00331387">
        <w:rPr>
          <w:rStyle w:val="normaltextrun"/>
        </w:rPr>
        <w:t>explore</w:t>
      </w:r>
      <w:r w:rsidR="00BD06E8">
        <w:rPr>
          <w:rStyle w:val="normaltextrun"/>
        </w:rPr>
        <w:t>d</w:t>
      </w:r>
      <w:r w:rsidR="00BD06E8" w:rsidRPr="00331387">
        <w:rPr>
          <w:rStyle w:val="normaltextrun"/>
        </w:rPr>
        <w:t xml:space="preserve"> all alternative cost recovery avenues</w:t>
      </w:r>
      <w:r w:rsidR="00BD06E8">
        <w:rPr>
          <w:rStyle w:val="normaltextrun"/>
        </w:rPr>
        <w:t xml:space="preserve"> and</w:t>
      </w:r>
      <w:r w:rsidRPr="00FE1BD7">
        <w:rPr>
          <w:rStyle w:val="normaltextrun"/>
        </w:rPr>
        <w:t xml:space="preserve"> ascertain whether they can recover funds from </w:t>
      </w:r>
      <w:r w:rsidR="00BD06E8">
        <w:rPr>
          <w:rStyle w:val="normaltextrun"/>
        </w:rPr>
        <w:t>these avenues.</w:t>
      </w:r>
      <w:r w:rsidRPr="00FE1BD7">
        <w:rPr>
          <w:rStyle w:val="normaltextrun"/>
        </w:rPr>
        <w:t xml:space="preserve"> </w:t>
      </w:r>
    </w:p>
    <w:p w14:paraId="470F5EAC" w14:textId="4F3F28B4" w:rsidR="0066557F" w:rsidRPr="00FE1BD7" w:rsidRDefault="0066557F" w:rsidP="0066557F">
      <w:pPr>
        <w:pStyle w:val="StatutoryGuidanceMainText"/>
        <w:numPr>
          <w:ilvl w:val="1"/>
          <w:numId w:val="13"/>
        </w:numPr>
        <w:ind w:left="754" w:hanging="612"/>
        <w:rPr>
          <w:rStyle w:val="normaltextrun"/>
        </w:rPr>
      </w:pPr>
      <w:r w:rsidRPr="0066557F">
        <w:rPr>
          <w:rStyle w:val="normaltextrun"/>
        </w:rPr>
        <w:t>In accordance with new section 20</w:t>
      </w:r>
      <w:proofErr w:type="gramStart"/>
      <w:r w:rsidRPr="0066557F">
        <w:rPr>
          <w:rStyle w:val="normaltextrun"/>
        </w:rPr>
        <w:t>D(</w:t>
      </w:r>
      <w:proofErr w:type="gramEnd"/>
      <w:r w:rsidRPr="0066557F">
        <w:rPr>
          <w:rStyle w:val="normaltextrun"/>
        </w:rPr>
        <w:t xml:space="preserve">8) Landlord and Tenant Act 1985, the landlord is </w:t>
      </w:r>
      <w:r w:rsidR="00C16E9F" w:rsidRPr="00C16E9F">
        <w:rPr>
          <w:rStyle w:val="normaltextrun"/>
        </w:rPr>
        <w:t xml:space="preserve">not required to have pursued any alternative avenues of cost recovery, or to have done anything in relation to pursuing these avenues, before carrying out remediation works. The expectation is that landlords will commence remediation </w:t>
      </w:r>
      <w:r w:rsidR="00C16E9F" w:rsidRPr="0066557F">
        <w:t>works</w:t>
      </w:r>
      <w:r w:rsidR="003D2F6A">
        <w:t xml:space="preserve">, </w:t>
      </w:r>
      <w:r w:rsidR="00C16E9F" w:rsidRPr="00C16E9F">
        <w:rPr>
          <w:rStyle w:val="normaltextrun"/>
        </w:rPr>
        <w:t xml:space="preserve">even if the monies are not guaranteed from alternative cost recovery avenues. </w:t>
      </w:r>
    </w:p>
    <w:p w14:paraId="39C88A18" w14:textId="17688193" w:rsidR="008B27D1" w:rsidRDefault="008B27D1" w:rsidP="00633473">
      <w:pPr>
        <w:pStyle w:val="StatutoryGuidanceMainText"/>
        <w:numPr>
          <w:ilvl w:val="1"/>
          <w:numId w:val="13"/>
        </w:numPr>
        <w:ind w:left="754" w:hanging="612"/>
        <w:rPr>
          <w:rStyle w:val="normaltextrun"/>
        </w:rPr>
      </w:pPr>
      <w:r w:rsidRPr="00037DE5">
        <w:rPr>
          <w:rStyle w:val="normaltextrun"/>
        </w:rPr>
        <w:t xml:space="preserve">The expectation is that landlords will commence remediation works even if the monies are not guaranteed from alternative </w:t>
      </w:r>
      <w:r>
        <w:rPr>
          <w:rStyle w:val="normaltextrun"/>
        </w:rPr>
        <w:t xml:space="preserve">cost recovery </w:t>
      </w:r>
      <w:r w:rsidRPr="00037DE5">
        <w:rPr>
          <w:rStyle w:val="normaltextrun"/>
        </w:rPr>
        <w:t>avenues.</w:t>
      </w:r>
    </w:p>
    <w:p w14:paraId="3D3B20D2" w14:textId="184EE3BB" w:rsidR="00D55DDF" w:rsidRPr="00D55DDF" w:rsidRDefault="00D55DDF" w:rsidP="00633473">
      <w:pPr>
        <w:pStyle w:val="StatutoryGuidanceMainText"/>
        <w:numPr>
          <w:ilvl w:val="1"/>
          <w:numId w:val="13"/>
        </w:numPr>
        <w:ind w:left="754" w:hanging="612"/>
        <w:rPr>
          <w:rStyle w:val="normaltextrun"/>
        </w:rPr>
      </w:pPr>
      <w:r w:rsidRPr="00FE1BD7">
        <w:t>Where landlords can pass on remediation costs to leaseholders, these provisions ensure that</w:t>
      </w:r>
      <w:r>
        <w:t>,</w:t>
      </w:r>
      <w:r w:rsidRPr="00FE1BD7">
        <w:t xml:space="preserve"> where there is a </w:t>
      </w:r>
      <w:r w:rsidRPr="00B916F1">
        <w:t>prescribed defect in a prescribed building (as defined in</w:t>
      </w:r>
      <w:r w:rsidRPr="00596D0C">
        <w:rPr>
          <w:color w:val="C00000"/>
          <w:highlight w:val="yellow"/>
        </w:rPr>
        <w:t xml:space="preserve"> </w:t>
      </w:r>
      <w:r w:rsidR="00804131" w:rsidRPr="00F72FF7">
        <w:t>section 3</w:t>
      </w:r>
      <w:r w:rsidRPr="00F72FF7">
        <w:t xml:space="preserve"> of this </w:t>
      </w:r>
      <w:r w:rsidR="00804131">
        <w:t>guidance</w:t>
      </w:r>
      <w:r w:rsidRPr="00B916F1">
        <w:t xml:space="preserve">), </w:t>
      </w:r>
      <w:r w:rsidRPr="00FE1BD7">
        <w:t xml:space="preserve">landlords must now take reasonable steps to </w:t>
      </w:r>
      <w:r>
        <w:t>pursue</w:t>
      </w:r>
      <w:r w:rsidRPr="00FE1BD7">
        <w:t xml:space="preserve"> other cost recovery avenues before passing on the costs for such works (this applies to both qualifying and non-qualifying leaseholders). </w:t>
      </w:r>
      <w:r w:rsidRPr="00D55DDF">
        <w:rPr>
          <w:rStyle w:val="normaltextrun"/>
        </w:rPr>
        <w:t>The landlord must:</w:t>
      </w:r>
    </w:p>
    <w:p w14:paraId="2066ECD9" w14:textId="32D17F13" w:rsidR="00D55DDF" w:rsidRPr="00D55DDF" w:rsidRDefault="00D55DDF" w:rsidP="00633473">
      <w:pPr>
        <w:pStyle w:val="StatutoryGuidanceMainText"/>
        <w:numPr>
          <w:ilvl w:val="2"/>
          <w:numId w:val="13"/>
        </w:numPr>
        <w:rPr>
          <w:rStyle w:val="normaltextrun"/>
        </w:rPr>
      </w:pPr>
      <w:r>
        <w:rPr>
          <w:rStyle w:val="normaltextrun"/>
        </w:rPr>
        <w:t xml:space="preserve">Determine </w:t>
      </w:r>
      <w:r w:rsidRPr="00D55DDF">
        <w:rPr>
          <w:rStyle w:val="normaltextrun"/>
        </w:rPr>
        <w:t>whether any grant is payable in respect of the remediation works and, if so, obtain the grant</w:t>
      </w:r>
    </w:p>
    <w:p w14:paraId="279906D1" w14:textId="2A04CB2E" w:rsidR="00D55DDF" w:rsidRDefault="00D55DDF" w:rsidP="00633473">
      <w:pPr>
        <w:pStyle w:val="StatutoryGuidanceMainText"/>
        <w:numPr>
          <w:ilvl w:val="2"/>
          <w:numId w:val="13"/>
        </w:numPr>
        <w:rPr>
          <w:rStyle w:val="normaltextrun"/>
        </w:rPr>
      </w:pPr>
      <w:r>
        <w:rPr>
          <w:rStyle w:val="normaltextrun"/>
        </w:rPr>
        <w:t>Determine</w:t>
      </w:r>
      <w:r w:rsidRPr="00D55DDF">
        <w:rPr>
          <w:rStyle w:val="normaltextrun"/>
        </w:rPr>
        <w:t xml:space="preserve"> whether all or any of the cost of remediation works may be met by a third party and, if so, to obtain monies from the third party (which is defined as including monies obtained from insurance, guarantee or indemnity or from the developer or anyone involved in designing or carrying out works on the building)</w:t>
      </w:r>
      <w:r w:rsidR="00267772">
        <w:rPr>
          <w:rStyle w:val="normaltextrun"/>
        </w:rPr>
        <w:t xml:space="preserve"> </w:t>
      </w:r>
    </w:p>
    <w:p w14:paraId="7EC7ADAC" w14:textId="30BAA210" w:rsidR="00B52AC0" w:rsidRPr="003F73F9" w:rsidRDefault="00B52AC0" w:rsidP="00633473">
      <w:pPr>
        <w:pStyle w:val="StatutoryGuidanceMainText"/>
        <w:numPr>
          <w:ilvl w:val="2"/>
          <w:numId w:val="13"/>
        </w:numPr>
      </w:pPr>
      <w:r w:rsidRPr="00B52AC0">
        <w:rPr>
          <w:rFonts w:eastAsia="Times New Roman"/>
          <w:lang w:eastAsia="en-GB"/>
        </w:rPr>
        <w:t>Reflect any money recouped through these avenues via a reduction in the remediation costs passed on via the service charge</w:t>
      </w:r>
    </w:p>
    <w:p w14:paraId="7A184439" w14:textId="77B8C5D4" w:rsidR="003F73F9" w:rsidRPr="00B52AC0" w:rsidRDefault="003F73F9" w:rsidP="00633473">
      <w:pPr>
        <w:pStyle w:val="StatutoryGuidanceMainText"/>
        <w:numPr>
          <w:ilvl w:val="2"/>
          <w:numId w:val="13"/>
        </w:numPr>
        <w:rPr>
          <w:rStyle w:val="normaltextrun"/>
        </w:rPr>
      </w:pPr>
      <w:r>
        <w:rPr>
          <w:rFonts w:eastAsia="Times New Roman"/>
          <w:lang w:eastAsia="en-GB"/>
        </w:rPr>
        <w:t>Provide</w:t>
      </w:r>
      <w:r w:rsidR="00651C24">
        <w:rPr>
          <w:rFonts w:eastAsia="Times New Roman"/>
          <w:lang w:eastAsia="en-GB"/>
        </w:rPr>
        <w:t xml:space="preserve"> adequate</w:t>
      </w:r>
      <w:r>
        <w:rPr>
          <w:rFonts w:eastAsia="Times New Roman"/>
          <w:lang w:eastAsia="en-GB"/>
        </w:rPr>
        <w:t xml:space="preserve"> evidence to leaseholders that they have taken these steps</w:t>
      </w:r>
    </w:p>
    <w:p w14:paraId="7D5A84FD" w14:textId="67945550" w:rsidR="000824EB" w:rsidRDefault="00D55DDF" w:rsidP="00633473">
      <w:pPr>
        <w:pStyle w:val="StatutoryGuidanceMainText"/>
        <w:numPr>
          <w:ilvl w:val="1"/>
          <w:numId w:val="13"/>
        </w:numPr>
        <w:ind w:left="754" w:hanging="612"/>
        <w:rPr>
          <w:b/>
          <w:bCs/>
        </w:rPr>
      </w:pPr>
      <w:r>
        <w:t>This guidance is therefore divided into sections covering in</w:t>
      </w:r>
      <w:r w:rsidR="00977CBA" w:rsidRPr="00FE1BD7">
        <w:t xml:space="preserve">surance, </w:t>
      </w:r>
      <w:r w:rsidR="00267772">
        <w:t>warranties,</w:t>
      </w:r>
      <w:r w:rsidR="00977CBA" w:rsidRPr="00FE1BD7">
        <w:t xml:space="preserve"> </w:t>
      </w:r>
      <w:r w:rsidR="005D1AA3">
        <w:t xml:space="preserve">third-party </w:t>
      </w:r>
      <w:r w:rsidR="00977CBA" w:rsidRPr="00FE1BD7">
        <w:t>litigation</w:t>
      </w:r>
      <w:r w:rsidR="00F276A1">
        <w:t xml:space="preserve"> (e.g. of developers)</w:t>
      </w:r>
      <w:r w:rsidR="00267772">
        <w:t>, and government grants and funds</w:t>
      </w:r>
      <w:r w:rsidR="00977CBA" w:rsidRPr="00FE1BD7">
        <w:t>.</w:t>
      </w:r>
    </w:p>
    <w:p w14:paraId="49C062AC" w14:textId="77777777" w:rsidR="000824EB" w:rsidRDefault="000824EB" w:rsidP="00633473">
      <w:pPr>
        <w:pStyle w:val="StatutoryGuidanceMainText"/>
        <w:numPr>
          <w:ilvl w:val="1"/>
          <w:numId w:val="13"/>
        </w:numPr>
        <w:ind w:left="754" w:hanging="612"/>
        <w:rPr>
          <w:b/>
          <w:bCs/>
        </w:rPr>
      </w:pPr>
      <w:r w:rsidRPr="00C04CD9">
        <w:t xml:space="preserve">Although the reasonable steps presented in this guidance are laid out in a linear structure, landlords can pursue insurance, warranties, third parties and other routes </w:t>
      </w:r>
      <w:r w:rsidRPr="00C04CD9">
        <w:lastRenderedPageBreak/>
        <w:t>simultaneously, dependant on the specific circumstances of a case. The landlord should seek independent legal advice as a first step to inform the best approach for cost recovery according to the circumstances of their case. It should be noted that government funding or grants (such as the Building Safety Fund) may require demonstration that all reasonable steps have been taken to recover costs beforehand, and so the landlord should take this into account.</w:t>
      </w:r>
    </w:p>
    <w:p w14:paraId="54C9EF44" w14:textId="109BF2DB" w:rsidR="000824EB" w:rsidRPr="000824EB" w:rsidRDefault="000824EB" w:rsidP="00633473">
      <w:pPr>
        <w:pStyle w:val="StatutoryGuidanceMainText"/>
        <w:numPr>
          <w:ilvl w:val="1"/>
          <w:numId w:val="13"/>
        </w:numPr>
        <w:ind w:left="754" w:hanging="612"/>
        <w:rPr>
          <w:b/>
          <w:bCs/>
        </w:rPr>
      </w:pPr>
      <w:r>
        <w:t xml:space="preserve">The diverse specifications of buildings </w:t>
      </w:r>
      <w:r w:rsidRPr="00F72FF7">
        <w:t xml:space="preserve">will present their own complexities </w:t>
      </w:r>
      <w:proofErr w:type="gramStart"/>
      <w:r w:rsidRPr="00F72FF7">
        <w:t>with regard to</w:t>
      </w:r>
      <w:proofErr w:type="gramEnd"/>
      <w:r w:rsidRPr="00F72FF7">
        <w:t xml:space="preserve"> determining the routes to pursue. These should be considered in accordance with a proportionate approach to fire safety remediation (see section 7 of this guidance). </w:t>
      </w:r>
    </w:p>
    <w:p w14:paraId="1345AFB3" w14:textId="3424DC33" w:rsidR="00185E9D" w:rsidRPr="00185E9D" w:rsidRDefault="00F965D1" w:rsidP="00633473">
      <w:pPr>
        <w:pStyle w:val="StatutoryGuidanceMainText"/>
        <w:numPr>
          <w:ilvl w:val="1"/>
          <w:numId w:val="13"/>
        </w:numPr>
        <w:ind w:left="754" w:hanging="612"/>
        <w:rPr>
          <w:rStyle w:val="normaltextrun"/>
          <w:b/>
          <w:bCs/>
        </w:rPr>
      </w:pPr>
      <w:r>
        <w:rPr>
          <w:rStyle w:val="normaltextrun"/>
        </w:rPr>
        <w:t xml:space="preserve">The Secretary of State </w:t>
      </w:r>
      <w:r w:rsidR="00855658">
        <w:rPr>
          <w:rStyle w:val="normaltextrun"/>
        </w:rPr>
        <w:t xml:space="preserve">has </w:t>
      </w:r>
      <w:r w:rsidR="00D30587">
        <w:rPr>
          <w:rStyle w:val="normaltextrun"/>
        </w:rPr>
        <w:t>powers to make regulations</w:t>
      </w:r>
      <w:r w:rsidR="00932825">
        <w:rPr>
          <w:rStyle w:val="normaltextrun"/>
        </w:rPr>
        <w:t xml:space="preserve"> to require that</w:t>
      </w:r>
      <w:r w:rsidR="001900C2">
        <w:rPr>
          <w:rStyle w:val="normaltextrun"/>
        </w:rPr>
        <w:t xml:space="preserve"> prescribed information </w:t>
      </w:r>
      <w:r w:rsidR="000F5A6E" w:rsidRPr="00F72FF7">
        <w:rPr>
          <w:rStyle w:val="normaltextrun"/>
        </w:rPr>
        <w:t xml:space="preserve">must </w:t>
      </w:r>
      <w:r w:rsidR="008F40B2" w:rsidRPr="00F72FF7">
        <w:rPr>
          <w:rStyle w:val="normaltextrun"/>
        </w:rPr>
        <w:t>be given to</w:t>
      </w:r>
      <w:r w:rsidR="004D08CD" w:rsidRPr="00F72FF7">
        <w:t xml:space="preserve"> leaseholders</w:t>
      </w:r>
      <w:r w:rsidR="008F40B2" w:rsidRPr="00F72FF7">
        <w:rPr>
          <w:rStyle w:val="normaltextrun"/>
        </w:rPr>
        <w:t xml:space="preserve">, to demonstrate that reasonable steps have been taken. </w:t>
      </w:r>
      <w:r w:rsidR="00855658" w:rsidRPr="00F72FF7">
        <w:rPr>
          <w:rFonts w:eastAsia="Arial"/>
        </w:rPr>
        <w:t xml:space="preserve">Further detail </w:t>
      </w:r>
      <w:r w:rsidR="00424EFE" w:rsidRPr="00F72FF7">
        <w:rPr>
          <w:rFonts w:eastAsia="Arial"/>
        </w:rPr>
        <w:t xml:space="preserve">on information provision </w:t>
      </w:r>
      <w:r w:rsidR="00855658" w:rsidRPr="00F72FF7">
        <w:rPr>
          <w:rFonts w:eastAsia="Arial"/>
        </w:rPr>
        <w:t>is provided in section 1</w:t>
      </w:r>
      <w:r w:rsidR="00424EFE" w:rsidRPr="00F72FF7">
        <w:rPr>
          <w:rFonts w:eastAsia="Arial"/>
        </w:rPr>
        <w:t>3</w:t>
      </w:r>
      <w:r w:rsidR="00855658" w:rsidRPr="00F72FF7">
        <w:rPr>
          <w:rFonts w:eastAsia="Arial"/>
        </w:rPr>
        <w:t xml:space="preserve"> of this guidance. </w:t>
      </w:r>
    </w:p>
    <w:p w14:paraId="2438CC0B" w14:textId="295B85A3" w:rsidR="00037DE5" w:rsidRPr="00FE1BD7" w:rsidRDefault="00124AA0" w:rsidP="00633473">
      <w:pPr>
        <w:pStyle w:val="StatutoryGuidanceMainText"/>
        <w:numPr>
          <w:ilvl w:val="1"/>
          <w:numId w:val="13"/>
        </w:numPr>
        <w:ind w:left="754" w:hanging="612"/>
        <w:rPr>
          <w:rStyle w:val="normaltextrun"/>
          <w:b/>
          <w:bCs/>
        </w:rPr>
      </w:pPr>
      <w:r w:rsidRPr="5071EA68">
        <w:rPr>
          <w:rStyle w:val="normaltextrun"/>
        </w:rPr>
        <w:t xml:space="preserve">The new </w:t>
      </w:r>
      <w:r>
        <w:t xml:space="preserve">provisions provide </w:t>
      </w:r>
      <w:r w:rsidRPr="5071EA68">
        <w:rPr>
          <w:rStyle w:val="normaltextrun"/>
        </w:rPr>
        <w:t xml:space="preserve">leaseholders with the right to challenge landlords </w:t>
      </w:r>
      <w:r w:rsidR="000F5A6E" w:rsidRPr="5071EA68">
        <w:rPr>
          <w:rStyle w:val="normaltextrun"/>
        </w:rPr>
        <w:t>at the First-tier Tribunal</w:t>
      </w:r>
      <w:r w:rsidRPr="5071EA68">
        <w:rPr>
          <w:rStyle w:val="normaltextrun"/>
        </w:rPr>
        <w:t xml:space="preserve"> if they feel that reasonable steps have not been taken to recover funds to remediate defective work</w:t>
      </w:r>
      <w:r w:rsidR="178C2719" w:rsidRPr="5071EA68">
        <w:rPr>
          <w:rStyle w:val="normaltextrun"/>
        </w:rPr>
        <w:t xml:space="preserve"> from alternative </w:t>
      </w:r>
      <w:r w:rsidR="00AA2EE5">
        <w:rPr>
          <w:rStyle w:val="normaltextrun"/>
        </w:rPr>
        <w:t xml:space="preserve">cost recovery </w:t>
      </w:r>
      <w:r w:rsidR="178C2719" w:rsidRPr="5071EA68">
        <w:rPr>
          <w:rStyle w:val="normaltextrun"/>
        </w:rPr>
        <w:t>avenues</w:t>
      </w:r>
      <w:r w:rsidRPr="5071EA68">
        <w:rPr>
          <w:rStyle w:val="normaltextrun"/>
        </w:rPr>
        <w:t>.</w:t>
      </w:r>
    </w:p>
    <w:p w14:paraId="0C02DB64" w14:textId="77777777" w:rsidR="00037DE5" w:rsidRDefault="00037DE5" w:rsidP="00037DE5">
      <w:pPr>
        <w:rPr>
          <w:rStyle w:val="normaltextrun"/>
          <w:rFonts w:ascii="Arial" w:hAnsi="Arial" w:cs="Arial"/>
          <w:b/>
          <w:bCs/>
        </w:rPr>
      </w:pPr>
      <w:bookmarkStart w:id="22" w:name="_Toc109832447"/>
      <w:bookmarkStart w:id="23" w:name="_Toc109834641"/>
      <w:bookmarkStart w:id="24" w:name="_Toc109903905"/>
      <w:bookmarkStart w:id="25" w:name="_Toc109982533"/>
      <w:bookmarkStart w:id="26" w:name="_Toc109832453"/>
      <w:bookmarkEnd w:id="17"/>
      <w:bookmarkEnd w:id="18"/>
      <w:bookmarkEnd w:id="19"/>
      <w:bookmarkEnd w:id="20"/>
      <w:bookmarkEnd w:id="21"/>
    </w:p>
    <w:p w14:paraId="41F5A126" w14:textId="41C46479" w:rsidR="00037DE5" w:rsidRPr="00A3359F" w:rsidRDefault="00C04CD9" w:rsidP="00724915">
      <w:pPr>
        <w:pStyle w:val="Heading2"/>
        <w:numPr>
          <w:ilvl w:val="0"/>
          <w:numId w:val="0"/>
        </w:numPr>
        <w:ind w:left="754" w:hanging="612"/>
        <w:rPr>
          <w:rStyle w:val="normaltextrun"/>
        </w:rPr>
      </w:pPr>
      <w:bookmarkStart w:id="27" w:name="_Toc115948284"/>
      <w:r>
        <w:rPr>
          <w:rStyle w:val="normaltextrun"/>
        </w:rPr>
        <w:t>7</w:t>
      </w:r>
      <w:r w:rsidR="00037DE5">
        <w:rPr>
          <w:rStyle w:val="normaltextrun"/>
        </w:rPr>
        <w:t>. Adopting a proportional approach to building safety</w:t>
      </w:r>
      <w:bookmarkEnd w:id="27"/>
    </w:p>
    <w:p w14:paraId="07340FD7" w14:textId="2978ADB5" w:rsidR="00037DE5" w:rsidRPr="00C04CD9" w:rsidRDefault="001E4709" w:rsidP="00633473">
      <w:pPr>
        <w:pStyle w:val="ListParagraph"/>
        <w:numPr>
          <w:ilvl w:val="1"/>
          <w:numId w:val="16"/>
        </w:numPr>
        <w:ind w:left="754" w:hanging="612"/>
        <w:rPr>
          <w:rFonts w:ascii="Arial" w:hAnsi="Arial" w:cs="Arial"/>
        </w:rPr>
      </w:pPr>
      <w:r>
        <w:rPr>
          <w:rFonts w:ascii="Arial" w:hAnsi="Arial" w:cs="Arial"/>
        </w:rPr>
        <w:t>L</w:t>
      </w:r>
      <w:r w:rsidRPr="00C04CD9">
        <w:rPr>
          <w:rFonts w:ascii="Arial" w:hAnsi="Arial" w:cs="Arial"/>
        </w:rPr>
        <w:t xml:space="preserve">andlords should take a proportionate approach to managing </w:t>
      </w:r>
      <w:r>
        <w:rPr>
          <w:rFonts w:ascii="Arial" w:hAnsi="Arial" w:cs="Arial"/>
        </w:rPr>
        <w:t xml:space="preserve">their </w:t>
      </w:r>
      <w:r w:rsidRPr="00C04CD9">
        <w:rPr>
          <w:rFonts w:ascii="Arial" w:hAnsi="Arial" w:cs="Arial"/>
        </w:rPr>
        <w:t>building safety risks</w:t>
      </w:r>
      <w:r w:rsidR="00964A13">
        <w:rPr>
          <w:rFonts w:ascii="Arial" w:hAnsi="Arial" w:cs="Arial"/>
        </w:rPr>
        <w:t xml:space="preserve">. </w:t>
      </w:r>
      <w:r w:rsidR="002811D0">
        <w:rPr>
          <w:rFonts w:ascii="Arial" w:hAnsi="Arial" w:cs="Arial"/>
        </w:rPr>
        <w:t>D</w:t>
      </w:r>
      <w:r w:rsidR="00037DE5" w:rsidRPr="00C04CD9">
        <w:rPr>
          <w:rFonts w:ascii="Arial" w:hAnsi="Arial" w:cs="Arial"/>
        </w:rPr>
        <w:t xml:space="preserve">epending on the specific circumstances of the case, mitigation, prevention, control, and ongoing management - as opposed to remediation - may be </w:t>
      </w:r>
      <w:r w:rsidR="00F02EE6">
        <w:rPr>
          <w:rFonts w:ascii="Arial" w:hAnsi="Arial" w:cs="Arial"/>
        </w:rPr>
        <w:t>a</w:t>
      </w:r>
      <w:r w:rsidR="00F02EE6" w:rsidRPr="00C04CD9">
        <w:rPr>
          <w:rFonts w:ascii="Arial" w:hAnsi="Arial" w:cs="Arial"/>
        </w:rPr>
        <w:t xml:space="preserve"> </w:t>
      </w:r>
      <w:r w:rsidR="00037DE5" w:rsidRPr="00C04CD9">
        <w:rPr>
          <w:rFonts w:ascii="Arial" w:hAnsi="Arial" w:cs="Arial"/>
        </w:rPr>
        <w:t>more proportionate option for the landlord to take</w:t>
      </w:r>
      <w:r w:rsidR="00511FFA">
        <w:rPr>
          <w:rFonts w:ascii="Arial" w:hAnsi="Arial" w:cs="Arial"/>
        </w:rPr>
        <w:t>;</w:t>
      </w:r>
      <w:r w:rsidR="00037DE5" w:rsidRPr="00C04CD9">
        <w:rPr>
          <w:rFonts w:ascii="Arial" w:hAnsi="Arial" w:cs="Arial"/>
        </w:rPr>
        <w:t xml:space="preserve"> for example, installation of sprinklers and fire alarms</w:t>
      </w:r>
      <w:r w:rsidR="005B760C">
        <w:rPr>
          <w:rFonts w:ascii="Arial" w:hAnsi="Arial" w:cs="Arial"/>
        </w:rPr>
        <w:t xml:space="preserve"> may </w:t>
      </w:r>
      <w:r w:rsidR="00F24A6B">
        <w:rPr>
          <w:rFonts w:ascii="Arial" w:hAnsi="Arial" w:cs="Arial"/>
        </w:rPr>
        <w:t>provide sufficient mitigation</w:t>
      </w:r>
      <w:r w:rsidR="00037DE5" w:rsidRPr="00C04CD9">
        <w:rPr>
          <w:rFonts w:ascii="Arial" w:hAnsi="Arial" w:cs="Arial"/>
        </w:rPr>
        <w:t xml:space="preserve">. </w:t>
      </w:r>
    </w:p>
    <w:p w14:paraId="1ABD35BC" w14:textId="7ABC6BA8" w:rsidR="002911D0" w:rsidRPr="00C04CD9" w:rsidRDefault="002911D0" w:rsidP="003A7CA6">
      <w:pPr>
        <w:pStyle w:val="Heading1"/>
        <w:ind w:left="0" w:firstLine="0"/>
        <w:rPr>
          <w:rStyle w:val="normaltextrun"/>
          <w:rFonts w:cs="Arial"/>
          <w:bCs/>
        </w:rPr>
      </w:pPr>
      <w:bookmarkStart w:id="28" w:name="_Toc109834570"/>
      <w:bookmarkStart w:id="29" w:name="_Toc109834634"/>
      <w:bookmarkStart w:id="30" w:name="_Toc109903898"/>
      <w:bookmarkStart w:id="31" w:name="_Toc109834571"/>
      <w:bookmarkStart w:id="32" w:name="_Toc109834635"/>
      <w:bookmarkStart w:id="33" w:name="_Toc109903899"/>
      <w:bookmarkStart w:id="34" w:name="_Toc109903911"/>
      <w:bookmarkStart w:id="35" w:name="_Toc109903912"/>
      <w:bookmarkStart w:id="36" w:name="_Toc109903913"/>
      <w:bookmarkStart w:id="37" w:name="_Toc109903914"/>
      <w:bookmarkStart w:id="38" w:name="_Toc109903915"/>
      <w:bookmarkStart w:id="39" w:name="_Toc109903916"/>
      <w:bookmarkStart w:id="40" w:name="_Toc109903917"/>
      <w:bookmarkStart w:id="41" w:name="_Toc109832460"/>
      <w:bookmarkStart w:id="42" w:name="_Toc115948285"/>
      <w:bookmarkEnd w:id="22"/>
      <w:bookmarkEnd w:id="23"/>
      <w:bookmarkEnd w:id="24"/>
      <w:bookmarkEnd w:id="25"/>
      <w:bookmarkEnd w:id="26"/>
      <w:bookmarkEnd w:id="28"/>
      <w:bookmarkEnd w:id="29"/>
      <w:bookmarkEnd w:id="30"/>
      <w:bookmarkEnd w:id="31"/>
      <w:bookmarkEnd w:id="32"/>
      <w:bookmarkEnd w:id="33"/>
      <w:bookmarkEnd w:id="34"/>
      <w:bookmarkEnd w:id="35"/>
      <w:bookmarkEnd w:id="36"/>
      <w:bookmarkEnd w:id="37"/>
      <w:bookmarkEnd w:id="38"/>
      <w:bookmarkEnd w:id="39"/>
      <w:bookmarkEnd w:id="40"/>
      <w:r>
        <w:rPr>
          <w:rStyle w:val="normaltextrun"/>
          <w:rFonts w:cs="Arial"/>
          <w:bCs/>
        </w:rPr>
        <w:t xml:space="preserve">What reasonable steps </w:t>
      </w:r>
      <w:r w:rsidR="005868ED">
        <w:rPr>
          <w:rStyle w:val="normaltextrun"/>
          <w:rFonts w:cs="Arial"/>
          <w:bCs/>
        </w:rPr>
        <w:t>s</w:t>
      </w:r>
      <w:r w:rsidR="00E667D3">
        <w:rPr>
          <w:rStyle w:val="normaltextrun"/>
          <w:rFonts w:cs="Arial"/>
          <w:bCs/>
        </w:rPr>
        <w:t>hould</w:t>
      </w:r>
      <w:r>
        <w:rPr>
          <w:rStyle w:val="normaltextrun"/>
          <w:rFonts w:cs="Arial"/>
          <w:bCs/>
        </w:rPr>
        <w:t xml:space="preserve"> the landlord follow to recover the costs of remediation before asking </w:t>
      </w:r>
      <w:r w:rsidRPr="00C04CD9">
        <w:rPr>
          <w:rStyle w:val="normaltextrun"/>
          <w:rFonts w:cs="Arial"/>
          <w:bCs/>
        </w:rPr>
        <w:t>leaseholder to contribute?</w:t>
      </w:r>
      <w:bookmarkEnd w:id="41"/>
      <w:bookmarkEnd w:id="42"/>
    </w:p>
    <w:p w14:paraId="2AA6EDFD" w14:textId="4D1FF0B9" w:rsidR="00FB2301" w:rsidRDefault="00FB2301" w:rsidP="000824EB">
      <w:pPr>
        <w:pStyle w:val="NoSpacing"/>
      </w:pPr>
    </w:p>
    <w:p w14:paraId="01AB659E" w14:textId="6034F6DC" w:rsidR="007E2F0F" w:rsidRPr="00994975" w:rsidRDefault="000824EB" w:rsidP="00724915">
      <w:pPr>
        <w:pStyle w:val="Heading2"/>
        <w:numPr>
          <w:ilvl w:val="0"/>
          <w:numId w:val="0"/>
        </w:numPr>
        <w:ind w:left="754" w:hanging="612"/>
        <w:rPr>
          <w:rStyle w:val="eop"/>
          <w:rFonts w:cs="Arial"/>
          <w:bCs/>
          <w:szCs w:val="28"/>
        </w:rPr>
      </w:pPr>
      <w:bookmarkStart w:id="43" w:name="_Toc109832468"/>
      <w:bookmarkStart w:id="44" w:name="_Toc115948286"/>
      <w:r>
        <w:rPr>
          <w:rStyle w:val="normaltextrun"/>
          <w:rFonts w:cs="Arial"/>
          <w:bCs/>
          <w:szCs w:val="28"/>
        </w:rPr>
        <w:t>8</w:t>
      </w:r>
      <w:r w:rsidR="00703B45">
        <w:rPr>
          <w:rStyle w:val="normaltextrun"/>
          <w:rFonts w:cs="Arial"/>
          <w:bCs/>
          <w:szCs w:val="28"/>
        </w:rPr>
        <w:t xml:space="preserve">. </w:t>
      </w:r>
      <w:r w:rsidR="007E2F0F" w:rsidRPr="003623A1">
        <w:rPr>
          <w:rStyle w:val="normaltextrun"/>
          <w:rFonts w:cs="Arial"/>
          <w:bCs/>
          <w:szCs w:val="28"/>
        </w:rPr>
        <w:t>Insurance</w:t>
      </w:r>
      <w:bookmarkEnd w:id="43"/>
      <w:bookmarkEnd w:id="44"/>
      <w:r w:rsidR="007E2F0F" w:rsidRPr="00A3359F">
        <w:rPr>
          <w:rStyle w:val="eop"/>
          <w:rFonts w:cs="Arial"/>
          <w:bCs/>
          <w:sz w:val="22"/>
          <w:szCs w:val="22"/>
        </w:rPr>
        <w:t> </w:t>
      </w:r>
    </w:p>
    <w:p w14:paraId="606F9E12" w14:textId="1E8ACF77" w:rsidR="00407F24" w:rsidRDefault="007E2F0F" w:rsidP="00633473">
      <w:pPr>
        <w:pStyle w:val="StatutoryGuidanceMainText"/>
        <w:numPr>
          <w:ilvl w:val="1"/>
          <w:numId w:val="25"/>
        </w:numPr>
        <w:ind w:left="612" w:hanging="612"/>
      </w:pPr>
      <w:bookmarkStart w:id="45" w:name="_Toc109832469"/>
      <w:r>
        <w:t>If</w:t>
      </w:r>
      <w:r w:rsidR="002B422F">
        <w:t>,</w:t>
      </w:r>
      <w:r>
        <w:t xml:space="preserve"> in the conduct of their</w:t>
      </w:r>
      <w:r w:rsidRPr="00651187">
        <w:t xml:space="preserve"> </w:t>
      </w:r>
      <w:r>
        <w:t>statutory duties, landlords</w:t>
      </w:r>
      <w:r w:rsidR="00053CC3">
        <w:t xml:space="preserve"> </w:t>
      </w:r>
      <w:r>
        <w:t>have discovered an issue or defect in common or demised part of building, the</w:t>
      </w:r>
      <w:r w:rsidR="00EA19B9">
        <w:t xml:space="preserve">y </w:t>
      </w:r>
      <w:r w:rsidR="006253BA">
        <w:t>should</w:t>
      </w:r>
      <w:r w:rsidR="00EA19B9">
        <w:t xml:space="preserve"> notify their</w:t>
      </w:r>
      <w:r>
        <w:t xml:space="preserve"> insurance compan</w:t>
      </w:r>
      <w:r w:rsidR="008D0327">
        <w:t>y</w:t>
      </w:r>
      <w:r w:rsidR="00091726">
        <w:t xml:space="preserve"> </w:t>
      </w:r>
      <w:r>
        <w:t xml:space="preserve">in accordance with the terms of the </w:t>
      </w:r>
      <w:bookmarkEnd w:id="45"/>
      <w:r w:rsidR="00615A3B">
        <w:t xml:space="preserve">insurance </w:t>
      </w:r>
      <w:r w:rsidR="00EE177A">
        <w:t>policy</w:t>
      </w:r>
      <w:r w:rsidR="00A62232">
        <w:t>. </w:t>
      </w:r>
      <w:bookmarkStart w:id="46" w:name="_Toc109832470"/>
    </w:p>
    <w:p w14:paraId="0D4439AC" w14:textId="5B7A7339" w:rsidR="001C414E" w:rsidRDefault="007E2F0F" w:rsidP="00633473">
      <w:pPr>
        <w:pStyle w:val="StatutoryGuidanceMainText"/>
        <w:numPr>
          <w:ilvl w:val="1"/>
          <w:numId w:val="25"/>
        </w:numPr>
        <w:ind w:left="612" w:hanging="612"/>
      </w:pPr>
      <w:r w:rsidRPr="00841784">
        <w:t>The landlord</w:t>
      </w:r>
      <w:r w:rsidR="00CE42FB">
        <w:t xml:space="preserve"> should</w:t>
      </w:r>
      <w:r w:rsidRPr="00841784">
        <w:t xml:space="preserve"> follow any </w:t>
      </w:r>
      <w:r w:rsidR="00400421">
        <w:t xml:space="preserve">reasonable </w:t>
      </w:r>
      <w:r w:rsidRPr="00841784">
        <w:t>instructions from the insurance company</w:t>
      </w:r>
      <w:r w:rsidR="0074637C">
        <w:t xml:space="preserve"> </w:t>
      </w:r>
      <w:r w:rsidR="00DA4BD9">
        <w:t xml:space="preserve">whilst taking the instructions of </w:t>
      </w:r>
      <w:r w:rsidR="0074637C">
        <w:t xml:space="preserve">the fire service, local </w:t>
      </w:r>
      <w:proofErr w:type="gramStart"/>
      <w:r w:rsidR="0074637C">
        <w:t>authority</w:t>
      </w:r>
      <w:proofErr w:type="gramEnd"/>
      <w:r w:rsidR="0074637C">
        <w:t xml:space="preserve"> </w:t>
      </w:r>
      <w:r w:rsidR="00207478">
        <w:t xml:space="preserve">and any other relevant body </w:t>
      </w:r>
      <w:r w:rsidR="0074637C">
        <w:t xml:space="preserve">into account. They </w:t>
      </w:r>
      <w:r w:rsidR="00E94E2C">
        <w:t xml:space="preserve">should </w:t>
      </w:r>
      <w:r w:rsidRPr="00841784">
        <w:t>provide</w:t>
      </w:r>
      <w:r w:rsidR="00841784" w:rsidRPr="00841784">
        <w:t xml:space="preserve"> </w:t>
      </w:r>
      <w:r w:rsidRPr="00841784">
        <w:t>information to the insurance company as required and ensure that they have complied with all requirements under the policy.</w:t>
      </w:r>
      <w:bookmarkEnd w:id="46"/>
      <w:r w:rsidRPr="00841784">
        <w:t> </w:t>
      </w:r>
    </w:p>
    <w:p w14:paraId="75A7AA68" w14:textId="7E5FB462" w:rsidR="000F50E7" w:rsidRPr="00E14F5A" w:rsidRDefault="000F50E7" w:rsidP="00E14F5A">
      <w:pPr>
        <w:pStyle w:val="StatutoryGuidanceMainText"/>
        <w:numPr>
          <w:ilvl w:val="1"/>
          <w:numId w:val="25"/>
        </w:numPr>
        <w:ind w:left="612" w:hanging="612"/>
      </w:pPr>
      <w:r w:rsidRPr="00E14F5A">
        <w:t xml:space="preserve">If the outcome of the </w:t>
      </w:r>
      <w:r w:rsidR="00043E93">
        <w:t xml:space="preserve">claim </w:t>
      </w:r>
      <w:r w:rsidRPr="00E14F5A">
        <w:t>is not in the</w:t>
      </w:r>
      <w:r w:rsidR="00043E93">
        <w:t xml:space="preserve"> landlord’s</w:t>
      </w:r>
      <w:r w:rsidR="00516A39">
        <w:t xml:space="preserve"> favour</w:t>
      </w:r>
      <w:r w:rsidRPr="00E14F5A">
        <w:t>, the</w:t>
      </w:r>
      <w:r w:rsidR="00E14F5A" w:rsidRPr="00E14F5A">
        <w:t xml:space="preserve">n where possible, they should follow the appeals process set by the insurance provider – this includes arbitration/mediation where available. </w:t>
      </w:r>
    </w:p>
    <w:p w14:paraId="3C414840" w14:textId="752B852B" w:rsidR="000F50E7" w:rsidRPr="00E14F5A" w:rsidRDefault="000F50E7" w:rsidP="00E14F5A">
      <w:pPr>
        <w:pStyle w:val="StatutoryGuidanceMainText"/>
        <w:numPr>
          <w:ilvl w:val="1"/>
          <w:numId w:val="25"/>
        </w:numPr>
        <w:ind w:left="612" w:hanging="612"/>
      </w:pPr>
      <w:r w:rsidRPr="00E14F5A">
        <w:lastRenderedPageBreak/>
        <w:t>In addition, under section 136 of the Building Safety Act 2022, if the landlord has not received a satisfactory resolution, the</w:t>
      </w:r>
      <w:r w:rsidR="00E14F5A" w:rsidRPr="00E14F5A">
        <w:t>y</w:t>
      </w:r>
      <w:r w:rsidRPr="00E14F5A">
        <w:t xml:space="preserve"> may raise a complaint </w:t>
      </w:r>
      <w:r w:rsidR="00F549E5">
        <w:t>with</w:t>
      </w:r>
      <w:r w:rsidRPr="00E14F5A">
        <w:t xml:space="preserve"> the New Homes Ombudsman or the Financial Ombudsman Service and seek legal advice as to whether a claim should be challenged through the courts. More information on dispute resolution can be found in section 10 of this guidance.</w:t>
      </w:r>
    </w:p>
    <w:p w14:paraId="489A5E70" w14:textId="77777777" w:rsidR="00424EFE" w:rsidRDefault="00424EFE" w:rsidP="00424EFE">
      <w:pPr>
        <w:pStyle w:val="NoSpacing"/>
        <w:rPr>
          <w:rStyle w:val="normaltextrun"/>
          <w:rFonts w:cs="Arial"/>
        </w:rPr>
      </w:pPr>
      <w:bookmarkStart w:id="47" w:name="_Toc109834586"/>
      <w:bookmarkStart w:id="48" w:name="_Toc109834650"/>
      <w:bookmarkStart w:id="49" w:name="_Toc109903922"/>
      <w:bookmarkStart w:id="50" w:name="_Toc109834587"/>
      <w:bookmarkStart w:id="51" w:name="_Toc109834651"/>
      <w:bookmarkStart w:id="52" w:name="_Toc109903923"/>
      <w:bookmarkStart w:id="53" w:name="_Toc109834588"/>
      <w:bookmarkStart w:id="54" w:name="_Toc109834652"/>
      <w:bookmarkStart w:id="55" w:name="_Toc109903924"/>
      <w:bookmarkStart w:id="56" w:name="_Toc109834589"/>
      <w:bookmarkStart w:id="57" w:name="_Toc109834653"/>
      <w:bookmarkStart w:id="58" w:name="_Toc109903925"/>
      <w:bookmarkStart w:id="59" w:name="_Toc109832473"/>
      <w:bookmarkEnd w:id="47"/>
      <w:bookmarkEnd w:id="48"/>
      <w:bookmarkEnd w:id="49"/>
      <w:bookmarkEnd w:id="50"/>
      <w:bookmarkEnd w:id="51"/>
      <w:bookmarkEnd w:id="52"/>
      <w:bookmarkEnd w:id="53"/>
      <w:bookmarkEnd w:id="54"/>
      <w:bookmarkEnd w:id="55"/>
      <w:bookmarkEnd w:id="56"/>
      <w:bookmarkEnd w:id="57"/>
      <w:bookmarkEnd w:id="58"/>
    </w:p>
    <w:p w14:paraId="2A995D78" w14:textId="052070F7" w:rsidR="00415569" w:rsidRPr="00415569" w:rsidRDefault="00771749" w:rsidP="00724915">
      <w:pPr>
        <w:pStyle w:val="Heading2"/>
        <w:numPr>
          <w:ilvl w:val="0"/>
          <w:numId w:val="0"/>
        </w:numPr>
        <w:ind w:left="754" w:hanging="612"/>
        <w:rPr>
          <w:rFonts w:cs="Arial"/>
        </w:rPr>
      </w:pPr>
      <w:bookmarkStart w:id="60" w:name="_Toc115948287"/>
      <w:r>
        <w:rPr>
          <w:rStyle w:val="normaltextrun"/>
          <w:rFonts w:cs="Arial"/>
        </w:rPr>
        <w:t>9</w:t>
      </w:r>
      <w:r w:rsidR="00703B45" w:rsidRPr="015BE446">
        <w:rPr>
          <w:rStyle w:val="normaltextrun"/>
          <w:rFonts w:cs="Arial"/>
        </w:rPr>
        <w:t xml:space="preserve">. </w:t>
      </w:r>
      <w:r w:rsidR="00D05927" w:rsidRPr="015BE446">
        <w:rPr>
          <w:rStyle w:val="normaltextrun"/>
          <w:rFonts w:cs="Arial"/>
        </w:rPr>
        <w:t>Warrantie</w:t>
      </w:r>
      <w:bookmarkEnd w:id="59"/>
      <w:r w:rsidR="00415569" w:rsidRPr="00415569">
        <w:rPr>
          <w:rStyle w:val="normaltextrun"/>
          <w:rFonts w:cs="Arial"/>
        </w:rPr>
        <w:t>s</w:t>
      </w:r>
      <w:bookmarkEnd w:id="60"/>
      <w:r w:rsidR="00415569" w:rsidRPr="00415569">
        <w:rPr>
          <w:rStyle w:val="eop"/>
          <w:rFonts w:cs="Arial"/>
        </w:rPr>
        <w:t> </w:t>
      </w:r>
      <w:r w:rsidR="00415569" w:rsidRPr="00415569">
        <w:rPr>
          <w:rFonts w:ascii="Times New Roman" w:hAnsi="Times New Roman" w:cs="Times New Roman"/>
          <w:sz w:val="24"/>
          <w:szCs w:val="24"/>
          <w:lang w:eastAsia="en-GB"/>
        </w:rPr>
        <w:t xml:space="preserve"> </w:t>
      </w:r>
    </w:p>
    <w:p w14:paraId="393A4BDC" w14:textId="0BA53C9B" w:rsidR="00771749" w:rsidRDefault="009724BE" w:rsidP="00167946">
      <w:pPr>
        <w:pStyle w:val="StatutoryGuidanceMainText"/>
        <w:numPr>
          <w:ilvl w:val="1"/>
          <w:numId w:val="26"/>
        </w:numPr>
        <w:ind w:left="612" w:hanging="612"/>
      </w:pPr>
      <w:bookmarkStart w:id="61" w:name="_Toc109832474"/>
      <w:r>
        <w:t xml:space="preserve">Where appropriate, </w:t>
      </w:r>
      <w:r w:rsidRPr="00482FE3">
        <w:t>t</w:t>
      </w:r>
      <w:r w:rsidR="00FD508E" w:rsidRPr="00482FE3">
        <w:t xml:space="preserve">he landlord </w:t>
      </w:r>
      <w:r w:rsidR="00D651DE" w:rsidRPr="00482FE3">
        <w:t xml:space="preserve">should </w:t>
      </w:r>
      <w:r w:rsidR="00FD508E" w:rsidRPr="00482FE3">
        <w:t xml:space="preserve">make a </w:t>
      </w:r>
      <w:r w:rsidR="00C74D97" w:rsidRPr="00482FE3">
        <w:t xml:space="preserve">home </w:t>
      </w:r>
      <w:r w:rsidR="00FD508E" w:rsidRPr="00482FE3">
        <w:t xml:space="preserve">warranty claim </w:t>
      </w:r>
      <w:r w:rsidR="0EC8F7BE">
        <w:t>immediately</w:t>
      </w:r>
      <w:r w:rsidR="00FD508E" w:rsidRPr="00A50E74">
        <w:t xml:space="preserve"> after the identification of the defect, so that claim is submitted within the warranty period. </w:t>
      </w:r>
      <w:r w:rsidR="008475A4" w:rsidRPr="008475A4">
        <w:t xml:space="preserve">If the issue has been identified during the builder liability period under the new home warranty, the landlord </w:t>
      </w:r>
      <w:r w:rsidR="008475A4">
        <w:t>should noti</w:t>
      </w:r>
      <w:r w:rsidR="008475A4" w:rsidRPr="008475A4">
        <w:t>fy the builder. If the builder does</w:t>
      </w:r>
      <w:r w:rsidR="00685BF5">
        <w:t xml:space="preserve"> not</w:t>
      </w:r>
      <w:r w:rsidR="008475A4" w:rsidRPr="008475A4">
        <w:t xml:space="preserve"> then rectify the issue, the landlord may be able to seek assistance from the new home warranty provider. </w:t>
      </w:r>
      <w:r w:rsidR="00FD508E" w:rsidRPr="00A50E74">
        <w:t xml:space="preserve">If this is not completed within the time frame stipulated by the warranty, the warranty may have a clause not to pay out owing to delay in identification and reporting of </w:t>
      </w:r>
      <w:r w:rsidR="00F66918">
        <w:t>defect.</w:t>
      </w:r>
      <w:r w:rsidR="00F66918" w:rsidRPr="00C04CD9">
        <w:t xml:space="preserve"> </w:t>
      </w:r>
      <w:r w:rsidR="00FD508E" w:rsidRPr="00A50E74">
        <w:t> </w:t>
      </w:r>
    </w:p>
    <w:p w14:paraId="4BCF3DF1" w14:textId="186A465A" w:rsidR="00771749" w:rsidRDefault="003F0DFA" w:rsidP="00167946">
      <w:pPr>
        <w:pStyle w:val="StatutoryGuidanceMainText"/>
        <w:numPr>
          <w:ilvl w:val="1"/>
          <w:numId w:val="26"/>
        </w:numPr>
        <w:ind w:left="612" w:hanging="612"/>
      </w:pPr>
      <w:r w:rsidRPr="00A50E74">
        <w:t>Depending on the warrant</w:t>
      </w:r>
      <w:r w:rsidR="00CF440E">
        <w:t>y provider</w:t>
      </w:r>
      <w:r w:rsidRPr="00A50E74">
        <w:t>’s requirements, the landlord may need to collate an evidenced body of information to support their claim. The additional support of technical advisors may be required. </w:t>
      </w:r>
    </w:p>
    <w:p w14:paraId="5D949074" w14:textId="317CB3AB" w:rsidR="00771749" w:rsidRDefault="00EC588C" w:rsidP="00167946">
      <w:pPr>
        <w:pStyle w:val="StatutoryGuidanceMainText"/>
        <w:numPr>
          <w:ilvl w:val="1"/>
          <w:numId w:val="26"/>
        </w:numPr>
        <w:ind w:left="612" w:hanging="612"/>
      </w:pPr>
      <w:r>
        <w:t>Depending on the warrant</w:t>
      </w:r>
      <w:r w:rsidR="00CF440E">
        <w:t>y provider’s</w:t>
      </w:r>
      <w:r>
        <w:t xml:space="preserve"> requirements, t</w:t>
      </w:r>
      <w:r w:rsidR="00D05927" w:rsidRPr="00A50E74">
        <w:t xml:space="preserve">he issue or defect </w:t>
      </w:r>
      <w:r>
        <w:t>may</w:t>
      </w:r>
      <w:r w:rsidR="00A54992" w:rsidRPr="00A50E74">
        <w:t xml:space="preserve"> </w:t>
      </w:r>
      <w:r w:rsidR="00D05927" w:rsidRPr="00A50E74">
        <w:t>need to be assessed by a relevant competent professional to understand the scope of the problem and suggest a proportionate path to remediation. </w:t>
      </w:r>
      <w:bookmarkEnd w:id="61"/>
    </w:p>
    <w:p w14:paraId="3FB80346" w14:textId="2616C9BA" w:rsidR="00771749" w:rsidRDefault="00D05927" w:rsidP="00167946">
      <w:pPr>
        <w:pStyle w:val="StatutoryGuidanceMainText"/>
        <w:numPr>
          <w:ilvl w:val="1"/>
          <w:numId w:val="26"/>
        </w:numPr>
        <w:ind w:left="612" w:hanging="612"/>
      </w:pPr>
      <w:r w:rsidRPr="00A50E74">
        <w:t xml:space="preserve">Once the nature of the issue or defect has been assessed, the landlord </w:t>
      </w:r>
      <w:r w:rsidR="00E94E2C">
        <w:t>should</w:t>
      </w:r>
      <w:r w:rsidR="00E94E2C" w:rsidRPr="00A50E74">
        <w:t xml:space="preserve"> </w:t>
      </w:r>
      <w:r w:rsidR="003559A0">
        <w:t>ascertain</w:t>
      </w:r>
      <w:r w:rsidR="002944E2" w:rsidRPr="00A50E74">
        <w:t xml:space="preserve"> </w:t>
      </w:r>
      <w:r w:rsidRPr="00A50E74">
        <w:t xml:space="preserve">whether they are able to raise a claim under the terms and conditions of the </w:t>
      </w:r>
      <w:r w:rsidR="00A02762" w:rsidRPr="00A02762">
        <w:t xml:space="preserve">warranty or warranties that their leaseholders </w:t>
      </w:r>
      <w:r w:rsidR="004C2B01" w:rsidRPr="00A02762">
        <w:t>possess</w:t>
      </w:r>
      <w:r w:rsidR="00A02762" w:rsidRPr="00A02762">
        <w:t xml:space="preserve"> or that they jointly </w:t>
      </w:r>
      <w:r w:rsidR="0024718B" w:rsidRPr="0024718B">
        <w:t xml:space="preserve">possess </w:t>
      </w:r>
      <w:r w:rsidR="00A02762" w:rsidRPr="00A02762">
        <w:t>with their leaseholders, and to what extent the warranty or warranties can cover the defect.</w:t>
      </w:r>
      <w:r w:rsidR="00A02762">
        <w:t xml:space="preserve"> </w:t>
      </w:r>
      <w:bookmarkStart w:id="62" w:name="_Toc109832476"/>
    </w:p>
    <w:p w14:paraId="3D08121B" w14:textId="77777777" w:rsidR="00771749" w:rsidRDefault="002A63F3" w:rsidP="00167946">
      <w:pPr>
        <w:pStyle w:val="StatutoryGuidanceMainText"/>
        <w:numPr>
          <w:ilvl w:val="1"/>
          <w:numId w:val="26"/>
        </w:numPr>
        <w:ind w:left="612" w:hanging="612"/>
      </w:pPr>
      <w:r>
        <w:t>The landlord should also note that, if they are not within a contractual defects</w:t>
      </w:r>
      <w:r w:rsidR="00CC17F6">
        <w:t>’</w:t>
      </w:r>
      <w:r>
        <w:t xml:space="preserve"> liability period</w:t>
      </w:r>
      <w:r w:rsidR="04857021">
        <w:t xml:space="preserve"> under a new build warranty</w:t>
      </w:r>
      <w:r>
        <w:t xml:space="preserve">, they may be able to raise a claim via individual manufacturer warranties. </w:t>
      </w:r>
      <w:bookmarkStart w:id="63" w:name="_Toc109832479"/>
      <w:bookmarkEnd w:id="62"/>
    </w:p>
    <w:p w14:paraId="46B0785A" w14:textId="77777777" w:rsidR="00771749" w:rsidRDefault="00D05927" w:rsidP="00167946">
      <w:pPr>
        <w:pStyle w:val="StatutoryGuidanceMainText"/>
        <w:numPr>
          <w:ilvl w:val="1"/>
          <w:numId w:val="26"/>
        </w:numPr>
        <w:ind w:left="612" w:hanging="612"/>
      </w:pPr>
      <w:r>
        <w:t xml:space="preserve">If the defect in question affects common parts of the building and the warranty is within the limitation period, the landlord </w:t>
      </w:r>
      <w:r w:rsidR="00A7062B">
        <w:t>sho</w:t>
      </w:r>
      <w:r>
        <w:t>u</w:t>
      </w:r>
      <w:r w:rsidR="00A7062B">
        <w:t xml:space="preserve">ld </w:t>
      </w:r>
      <w:r>
        <w:t>make a claim to the warranty provider</w:t>
      </w:r>
      <w:bookmarkEnd w:id="63"/>
      <w:r w:rsidR="00907BA3">
        <w:t>. E</w:t>
      </w:r>
      <w:r w:rsidR="00A148C5">
        <w:t xml:space="preserve">xamples of defects which affect common parts of the building include: the structure, main walls, roof, foundations, services, </w:t>
      </w:r>
      <w:proofErr w:type="gramStart"/>
      <w:r w:rsidR="00A148C5">
        <w:t>grounds</w:t>
      </w:r>
      <w:proofErr w:type="gramEnd"/>
      <w:r w:rsidR="00A148C5">
        <w:t xml:space="preserve"> and any other common areas serving the building or estate of which the property forms part</w:t>
      </w:r>
      <w:r w:rsidR="00F34E9D">
        <w:t>.</w:t>
      </w:r>
      <w:bookmarkStart w:id="64" w:name="_Toc109832480"/>
    </w:p>
    <w:p w14:paraId="4BF74B53" w14:textId="77777777" w:rsidR="00771749" w:rsidRDefault="00D05927" w:rsidP="00167946">
      <w:pPr>
        <w:pStyle w:val="StatutoryGuidanceMainText"/>
        <w:numPr>
          <w:ilvl w:val="1"/>
          <w:numId w:val="26"/>
        </w:numPr>
        <w:ind w:left="612" w:hanging="612"/>
      </w:pPr>
      <w:r w:rsidRPr="00A50E74">
        <w:t xml:space="preserve">If the warranty does not provide cover to the ‘owner’ (in this case, the leaseholder) for the demised part of the building, the landlord </w:t>
      </w:r>
      <w:r w:rsidR="00A7062B">
        <w:t>sho</w:t>
      </w:r>
      <w:r w:rsidRPr="00A50E74">
        <w:t>u</w:t>
      </w:r>
      <w:r w:rsidR="00A7062B">
        <w:t>ld</w:t>
      </w:r>
      <w:r w:rsidRPr="00A50E74">
        <w:t xml:space="preserve"> make a claim to the warranty provider for defects within the demised </w:t>
      </w:r>
      <w:r w:rsidR="000E7DF4" w:rsidRPr="00A50E74">
        <w:t>part</w:t>
      </w:r>
      <w:r w:rsidR="000E081E">
        <w:t xml:space="preserve">, where </w:t>
      </w:r>
      <w:r w:rsidR="003F11DE">
        <w:t>appropriate (</w:t>
      </w:r>
      <w:r w:rsidR="008230E0">
        <w:t>for example,</w:t>
      </w:r>
      <w:r w:rsidR="003F11DE">
        <w:t xml:space="preserve"> where </w:t>
      </w:r>
      <w:r w:rsidR="00B50E11">
        <w:t>the terms of the warranty cover that defect)</w:t>
      </w:r>
      <w:r w:rsidRPr="00A50E74">
        <w:t>.</w:t>
      </w:r>
      <w:bookmarkEnd w:id="64"/>
      <w:r w:rsidRPr="00A50E74">
        <w:t>  </w:t>
      </w:r>
      <w:bookmarkStart w:id="65" w:name="_Toc109832481"/>
    </w:p>
    <w:p w14:paraId="400DC69E" w14:textId="77777777" w:rsidR="0004072B" w:rsidRDefault="00BF3FDA" w:rsidP="00167946">
      <w:pPr>
        <w:pStyle w:val="StatutoryGuidanceMainText"/>
        <w:numPr>
          <w:ilvl w:val="1"/>
          <w:numId w:val="26"/>
        </w:numPr>
        <w:ind w:left="612" w:hanging="612"/>
      </w:pPr>
      <w:r w:rsidRPr="00841784">
        <w:t>The landlord</w:t>
      </w:r>
      <w:r>
        <w:t xml:space="preserve"> should</w:t>
      </w:r>
      <w:r w:rsidRPr="00841784">
        <w:t xml:space="preserve"> follow any </w:t>
      </w:r>
      <w:r>
        <w:t xml:space="preserve">reasonable </w:t>
      </w:r>
      <w:r w:rsidRPr="00841784">
        <w:t xml:space="preserve">instructions from the </w:t>
      </w:r>
      <w:r w:rsidR="00537F31" w:rsidRPr="00537F31">
        <w:t xml:space="preserve">warranty </w:t>
      </w:r>
      <w:r w:rsidRPr="00841784">
        <w:t>company</w:t>
      </w:r>
      <w:r>
        <w:t xml:space="preserve"> whilst taking the instructions of the fire service, local </w:t>
      </w:r>
      <w:proofErr w:type="gramStart"/>
      <w:r>
        <w:t>authority</w:t>
      </w:r>
      <w:proofErr w:type="gramEnd"/>
      <w:r w:rsidR="008230E0">
        <w:t xml:space="preserve"> and any other relevant body</w:t>
      </w:r>
      <w:r>
        <w:t xml:space="preserve"> into account. They should </w:t>
      </w:r>
      <w:r w:rsidRPr="00841784">
        <w:t xml:space="preserve">provide information to the </w:t>
      </w:r>
      <w:r w:rsidR="00A4097A">
        <w:t>warranty</w:t>
      </w:r>
      <w:r w:rsidRPr="00841784">
        <w:t xml:space="preserve"> company as required and ensure that </w:t>
      </w:r>
      <w:r w:rsidR="00BC3ECA" w:rsidRPr="00A50E74">
        <w:t>t</w:t>
      </w:r>
      <w:r w:rsidR="00BC3ECA">
        <w:t xml:space="preserve">hey </w:t>
      </w:r>
      <w:r w:rsidRPr="00841784">
        <w:t>have complied with all requirements under the policy</w:t>
      </w:r>
      <w:r w:rsidR="000B5414">
        <w:t>.</w:t>
      </w:r>
      <w:bookmarkStart w:id="66" w:name="_Toc109832483"/>
      <w:bookmarkEnd w:id="65"/>
    </w:p>
    <w:p w14:paraId="59DF3180" w14:textId="733DFC1A" w:rsidR="00146A0D" w:rsidRPr="004E0E51" w:rsidRDefault="009A73DD" w:rsidP="00633473">
      <w:pPr>
        <w:pStyle w:val="StatutoryGuidanceMainText"/>
        <w:numPr>
          <w:ilvl w:val="1"/>
          <w:numId w:val="26"/>
        </w:numPr>
        <w:ind w:left="612" w:hanging="612"/>
      </w:pPr>
      <w:r w:rsidRPr="00936081">
        <w:lastRenderedPageBreak/>
        <w:t xml:space="preserve">If neither the builder, nor the developer, nor the warranty provider </w:t>
      </w:r>
      <w:proofErr w:type="gramStart"/>
      <w:r w:rsidRPr="00936081">
        <w:t>take action</w:t>
      </w:r>
      <w:proofErr w:type="gramEnd"/>
      <w:r w:rsidRPr="00936081">
        <w:t>, or if the outcome of the claim is not in the landlord’s favour, then where possible, they should follow the appeals process set by the warranty provider – this includes arbitration or mediation where available</w:t>
      </w:r>
      <w:r>
        <w:t xml:space="preserve">. </w:t>
      </w:r>
      <w:bookmarkStart w:id="67" w:name="_Toc109832484"/>
      <w:bookmarkEnd w:id="66"/>
      <w:r w:rsidR="00146A0D" w:rsidRPr="00A50E74">
        <w:t xml:space="preserve">In addition, under section 136 of the Building Safety Act 2022, if the landlord has not </w:t>
      </w:r>
      <w:r w:rsidR="00146A0D" w:rsidRPr="004E0E51">
        <w:t>received a satisfactory resolution, the landlord may raise a complaint to the New Homes Ombudsman scheme or the Financial Ombudsman Service and seek legal advice as to whether a claim should be challenged through the courts. More information on dispute resolution can be found in section 1</w:t>
      </w:r>
      <w:r w:rsidR="002216DC" w:rsidRPr="004E0E51">
        <w:t>0</w:t>
      </w:r>
      <w:r w:rsidR="00146A0D" w:rsidRPr="004E0E51">
        <w:t xml:space="preserve"> of this guidance.</w:t>
      </w:r>
    </w:p>
    <w:p w14:paraId="0E572F60" w14:textId="5D58B493" w:rsidR="00146A0D" w:rsidRPr="004E0E51" w:rsidRDefault="006638A3" w:rsidP="00633473">
      <w:pPr>
        <w:pStyle w:val="StatutoryGuidanceMainText"/>
        <w:numPr>
          <w:ilvl w:val="1"/>
          <w:numId w:val="26"/>
        </w:numPr>
        <w:ind w:left="612" w:hanging="612"/>
      </w:pPr>
      <w:r w:rsidRPr="004E0E51">
        <w:t xml:space="preserve">Information about passing on legal expenses </w:t>
      </w:r>
      <w:r w:rsidR="002216DC" w:rsidRPr="004E0E51">
        <w:t xml:space="preserve">to leaseholders </w:t>
      </w:r>
      <w:r w:rsidRPr="004E0E51">
        <w:t>can be found in paragraphs 5.</w:t>
      </w:r>
      <w:r w:rsidR="002216DC" w:rsidRPr="004E0E51">
        <w:t>5</w:t>
      </w:r>
      <w:r w:rsidRPr="004E0E51">
        <w:t xml:space="preserve"> and 5.</w:t>
      </w:r>
      <w:r w:rsidR="002216DC" w:rsidRPr="004E0E51">
        <w:t>6</w:t>
      </w:r>
      <w:r w:rsidRPr="004E0E51">
        <w:t xml:space="preserve"> of this guidance.</w:t>
      </w:r>
    </w:p>
    <w:bookmarkEnd w:id="67"/>
    <w:p w14:paraId="3320BF96" w14:textId="77777777" w:rsidR="0010159A" w:rsidRPr="00292BC8" w:rsidRDefault="0010159A" w:rsidP="002216DC">
      <w:pPr>
        <w:pStyle w:val="NoSpacing"/>
      </w:pPr>
    </w:p>
    <w:p w14:paraId="6448F6BE" w14:textId="4D90DEE5" w:rsidR="005D7048" w:rsidRPr="00D05927" w:rsidRDefault="00703B45" w:rsidP="00724915">
      <w:pPr>
        <w:pStyle w:val="Heading2"/>
        <w:numPr>
          <w:ilvl w:val="0"/>
          <w:numId w:val="0"/>
        </w:numPr>
        <w:ind w:left="754" w:hanging="612"/>
        <w:rPr>
          <w:rStyle w:val="eop"/>
          <w:rFonts w:cs="Arial"/>
        </w:rPr>
      </w:pPr>
      <w:bookmarkStart w:id="68" w:name="_Toc109832487"/>
      <w:bookmarkStart w:id="69" w:name="_Toc115948288"/>
      <w:r w:rsidRPr="015BE446">
        <w:rPr>
          <w:rStyle w:val="normaltextrun"/>
          <w:rFonts w:cs="Arial"/>
        </w:rPr>
        <w:t>1</w:t>
      </w:r>
      <w:r w:rsidR="006638A3">
        <w:rPr>
          <w:rStyle w:val="normaltextrun"/>
          <w:rFonts w:cs="Arial"/>
        </w:rPr>
        <w:t>0</w:t>
      </w:r>
      <w:r w:rsidRPr="015BE446">
        <w:rPr>
          <w:rStyle w:val="normaltextrun"/>
          <w:rFonts w:cs="Arial"/>
        </w:rPr>
        <w:t xml:space="preserve">. </w:t>
      </w:r>
      <w:r w:rsidR="005D7048" w:rsidRPr="015BE446">
        <w:rPr>
          <w:rStyle w:val="normaltextrun"/>
          <w:rFonts w:cs="Arial"/>
        </w:rPr>
        <w:t xml:space="preserve">Dispute </w:t>
      </w:r>
      <w:r w:rsidR="00795EE2" w:rsidRPr="015BE446">
        <w:rPr>
          <w:rStyle w:val="normaltextrun"/>
          <w:rFonts w:cs="Arial"/>
        </w:rPr>
        <w:t>r</w:t>
      </w:r>
      <w:r w:rsidR="005D7048" w:rsidRPr="015BE446">
        <w:rPr>
          <w:rStyle w:val="normaltextrun"/>
          <w:rFonts w:cs="Arial"/>
        </w:rPr>
        <w:t>esolution</w:t>
      </w:r>
      <w:bookmarkEnd w:id="68"/>
      <w:r w:rsidR="005D7048" w:rsidRPr="015BE446">
        <w:rPr>
          <w:rStyle w:val="eop"/>
          <w:rFonts w:cs="Arial"/>
        </w:rPr>
        <w:t> </w:t>
      </w:r>
      <w:r w:rsidR="00674E48">
        <w:rPr>
          <w:rStyle w:val="eop"/>
          <w:rFonts w:cs="Arial"/>
        </w:rPr>
        <w:t>(</w:t>
      </w:r>
      <w:r w:rsidR="00182C18">
        <w:rPr>
          <w:rStyle w:val="eop"/>
          <w:rFonts w:cs="Arial"/>
        </w:rPr>
        <w:t xml:space="preserve">relating to </w:t>
      </w:r>
      <w:r w:rsidR="00674E48">
        <w:rPr>
          <w:rStyle w:val="eop"/>
          <w:rFonts w:cs="Arial"/>
        </w:rPr>
        <w:t>warranties and insurance)</w:t>
      </w:r>
      <w:bookmarkEnd w:id="69"/>
    </w:p>
    <w:p w14:paraId="4351BCC8" w14:textId="2F282178" w:rsidR="005D7048" w:rsidRPr="00EA10E5" w:rsidRDefault="005D7048" w:rsidP="00633473">
      <w:pPr>
        <w:pStyle w:val="StatutoryGuidanceMainText"/>
        <w:numPr>
          <w:ilvl w:val="1"/>
          <w:numId w:val="27"/>
        </w:numPr>
        <w:ind w:left="754" w:hanging="612"/>
      </w:pPr>
      <w:bookmarkStart w:id="70" w:name="_Toc109832488"/>
      <w:r w:rsidRPr="00EA10E5">
        <w:t xml:space="preserve">In deciding whether to pursue dispute resolution through a resolution service/engage a resolution service, the landlord </w:t>
      </w:r>
      <w:r w:rsidR="176C4B61" w:rsidRPr="00EA10E5">
        <w:t>may</w:t>
      </w:r>
      <w:r w:rsidRPr="00EA10E5">
        <w:t xml:space="preserve"> consider:</w:t>
      </w:r>
      <w:bookmarkEnd w:id="70"/>
      <w:r w:rsidRPr="00EA10E5">
        <w:t>  </w:t>
      </w:r>
    </w:p>
    <w:p w14:paraId="67F22A60" w14:textId="1E2D2155" w:rsidR="00C01B97" w:rsidRPr="00EA10E5" w:rsidRDefault="00B63C1E" w:rsidP="00633473">
      <w:pPr>
        <w:pStyle w:val="ListParagraph"/>
        <w:numPr>
          <w:ilvl w:val="2"/>
          <w:numId w:val="27"/>
        </w:numPr>
        <w:rPr>
          <w:rFonts w:ascii="Arial" w:hAnsi="Arial" w:cs="Arial"/>
        </w:rPr>
      </w:pPr>
      <w:r>
        <w:rPr>
          <w:rStyle w:val="normaltextrun"/>
          <w:rFonts w:ascii="Arial" w:hAnsi="Arial" w:cs="Arial"/>
        </w:rPr>
        <w:t>w</w:t>
      </w:r>
      <w:r w:rsidR="001B5112">
        <w:rPr>
          <w:rStyle w:val="normaltextrun"/>
          <w:rFonts w:ascii="Arial" w:hAnsi="Arial" w:cs="Arial"/>
        </w:rPr>
        <w:t>hether t</w:t>
      </w:r>
      <w:r w:rsidR="005D7048" w:rsidRPr="00EA10E5">
        <w:rPr>
          <w:rStyle w:val="normaltextrun"/>
          <w:rFonts w:ascii="Arial" w:hAnsi="Arial" w:cs="Arial"/>
        </w:rPr>
        <w:t>hird party advice</w:t>
      </w:r>
      <w:r w:rsidR="001B5112">
        <w:rPr>
          <w:rStyle w:val="normaltextrun"/>
          <w:rFonts w:ascii="Arial" w:hAnsi="Arial" w:cs="Arial"/>
        </w:rPr>
        <w:t xml:space="preserve"> (</w:t>
      </w:r>
      <w:r w:rsidR="0050488C">
        <w:rPr>
          <w:rStyle w:val="normaltextrun"/>
          <w:rFonts w:ascii="Arial" w:hAnsi="Arial" w:cs="Arial"/>
        </w:rPr>
        <w:t>such as</w:t>
      </w:r>
      <w:r w:rsidR="007739DB" w:rsidRPr="00EA10E5">
        <w:rPr>
          <w:rStyle w:val="normaltextrun"/>
          <w:rFonts w:ascii="Arial" w:hAnsi="Arial" w:cs="Arial"/>
        </w:rPr>
        <w:t xml:space="preserve"> legal</w:t>
      </w:r>
      <w:r w:rsidR="0050488C">
        <w:rPr>
          <w:rStyle w:val="normaltextrun"/>
          <w:rFonts w:ascii="Arial" w:hAnsi="Arial" w:cs="Arial"/>
        </w:rPr>
        <w:t xml:space="preserve"> advice</w:t>
      </w:r>
      <w:r w:rsidR="007739DB" w:rsidRPr="00EA10E5">
        <w:rPr>
          <w:rStyle w:val="normaltextrun"/>
          <w:rFonts w:ascii="Arial" w:hAnsi="Arial" w:cs="Arial"/>
        </w:rPr>
        <w:t xml:space="preserve"> and technical opinion</w:t>
      </w:r>
      <w:r w:rsidR="001B5112">
        <w:rPr>
          <w:rStyle w:val="normaltextrun"/>
          <w:rFonts w:ascii="Arial" w:hAnsi="Arial" w:cs="Arial"/>
        </w:rPr>
        <w:t>),</w:t>
      </w:r>
      <w:r w:rsidR="005D7048" w:rsidRPr="00EA10E5">
        <w:rPr>
          <w:rStyle w:val="normaltextrun"/>
          <w:rFonts w:ascii="Arial" w:hAnsi="Arial" w:cs="Arial"/>
        </w:rPr>
        <w:t xml:space="preserve"> has suggested that a resolution service would be the best option to pursue under their circumstances, with a good prospect of cost recovery</w:t>
      </w:r>
      <w:r w:rsidR="006369CA">
        <w:rPr>
          <w:rStyle w:val="normaltextrun"/>
          <w:rFonts w:ascii="Arial" w:hAnsi="Arial" w:cs="Arial"/>
        </w:rPr>
        <w:t>;</w:t>
      </w:r>
      <w:r w:rsidR="00F72223">
        <w:rPr>
          <w:rStyle w:val="normaltextrun"/>
          <w:rFonts w:ascii="Arial" w:hAnsi="Arial" w:cs="Arial"/>
        </w:rPr>
        <w:t xml:space="preserve"> and</w:t>
      </w:r>
      <w:r w:rsidR="005D7048" w:rsidRPr="00EA10E5">
        <w:rPr>
          <w:rStyle w:val="eop"/>
          <w:rFonts w:ascii="Arial" w:hAnsi="Arial" w:cs="Arial"/>
        </w:rPr>
        <w:t> </w:t>
      </w:r>
    </w:p>
    <w:p w14:paraId="058AAF68" w14:textId="77777777" w:rsidR="00DF1C89" w:rsidRDefault="00B63C1E" w:rsidP="00DF1C89">
      <w:pPr>
        <w:pStyle w:val="ListParagraph"/>
        <w:numPr>
          <w:ilvl w:val="2"/>
          <w:numId w:val="27"/>
        </w:numPr>
        <w:rPr>
          <w:rStyle w:val="eop"/>
          <w:rFonts w:ascii="Arial" w:hAnsi="Arial" w:cs="Arial"/>
        </w:rPr>
      </w:pPr>
      <w:r w:rsidRPr="006638A3">
        <w:rPr>
          <w:rStyle w:val="normaltextrun"/>
          <w:rFonts w:ascii="Arial" w:hAnsi="Arial" w:cs="Arial"/>
        </w:rPr>
        <w:t>w</w:t>
      </w:r>
      <w:r w:rsidR="005D7048" w:rsidRPr="006638A3">
        <w:rPr>
          <w:rStyle w:val="normaltextrun"/>
          <w:rFonts w:ascii="Arial" w:hAnsi="Arial" w:cs="Arial"/>
        </w:rPr>
        <w:t>hether the length of time to settle a claim would interfere with the pace of remediation</w:t>
      </w:r>
      <w:r w:rsidR="00BD16D4" w:rsidRPr="006638A3">
        <w:rPr>
          <w:rStyle w:val="normaltextrun"/>
          <w:rFonts w:ascii="Arial" w:hAnsi="Arial" w:cs="Arial"/>
        </w:rPr>
        <w:t>,</w:t>
      </w:r>
      <w:r w:rsidR="005D7048" w:rsidRPr="006638A3">
        <w:rPr>
          <w:rStyle w:val="normaltextrun"/>
          <w:rFonts w:ascii="Arial" w:hAnsi="Arial" w:cs="Arial"/>
        </w:rPr>
        <w:t xml:space="preserve"> or unnecessarily extend the ongoing costs to leaseholders</w:t>
      </w:r>
      <w:r w:rsidR="005D7048" w:rsidRPr="006638A3">
        <w:rPr>
          <w:rStyle w:val="eop"/>
          <w:rFonts w:ascii="Arial" w:hAnsi="Arial" w:cs="Arial"/>
        </w:rPr>
        <w:t> </w:t>
      </w:r>
    </w:p>
    <w:p w14:paraId="463F7541" w14:textId="77777777" w:rsidR="00AE0760" w:rsidRDefault="00AE0760" w:rsidP="00AE0760">
      <w:pPr>
        <w:pStyle w:val="StatutoryGuidanceMainText"/>
        <w:numPr>
          <w:ilvl w:val="1"/>
          <w:numId w:val="27"/>
        </w:numPr>
        <w:ind w:left="754" w:hanging="612"/>
      </w:pPr>
      <w:bookmarkStart w:id="71" w:name="_Toc109832489"/>
      <w:r w:rsidRPr="00AE0760">
        <w:t xml:space="preserve">The factors outlined in </w:t>
      </w:r>
      <w:r w:rsidRPr="004E0E51">
        <w:t>paragraph 10.1.1 and 10.1.2 do not provide an exhaustive list, and the landlord may want to take other factors into consideration.</w:t>
      </w:r>
    </w:p>
    <w:p w14:paraId="5E0A3E92" w14:textId="44BA79A2" w:rsidR="00AE0760" w:rsidRDefault="005D7048" w:rsidP="00AE0760">
      <w:pPr>
        <w:pStyle w:val="StatutoryGuidanceMainText"/>
        <w:numPr>
          <w:ilvl w:val="1"/>
          <w:numId w:val="27"/>
        </w:numPr>
        <w:ind w:left="754" w:hanging="612"/>
      </w:pPr>
      <w:r w:rsidRPr="00EA10E5">
        <w:t>If the landlord has reasonably pursued cost recovery avenues through a</w:t>
      </w:r>
      <w:r w:rsidR="00CD7F89" w:rsidRPr="00EA10E5">
        <w:t xml:space="preserve">n </w:t>
      </w:r>
      <w:r w:rsidRPr="00EA10E5">
        <w:t>insurance</w:t>
      </w:r>
      <w:r w:rsidR="00CD7F89" w:rsidRPr="00EA10E5">
        <w:t xml:space="preserve"> or warranty</w:t>
      </w:r>
      <w:r w:rsidRPr="00EA10E5">
        <w:t xml:space="preserve"> claim and the outcome of the resolution is in favour of the builder/developer, they may wish to </w:t>
      </w:r>
      <w:r w:rsidR="00E332C0">
        <w:t>appeal t</w:t>
      </w:r>
      <w:r w:rsidRPr="00EA10E5">
        <w:t xml:space="preserve">o a mediation/arbitration service. The landlord </w:t>
      </w:r>
      <w:r w:rsidR="000E3ADD">
        <w:t>should</w:t>
      </w:r>
      <w:r w:rsidR="000E3ADD" w:rsidRPr="00EA10E5">
        <w:t xml:space="preserve"> </w:t>
      </w:r>
      <w:r w:rsidRPr="00EA10E5">
        <w:t xml:space="preserve">consider the factors </w:t>
      </w:r>
      <w:r w:rsidR="00E332C0">
        <w:t>outl</w:t>
      </w:r>
      <w:r w:rsidR="00E332C0" w:rsidRPr="00EA10E5">
        <w:t>ined</w:t>
      </w:r>
      <w:r w:rsidRPr="00EA10E5">
        <w:t xml:space="preserve"> in</w:t>
      </w:r>
      <w:r w:rsidR="00D05DF6">
        <w:t xml:space="preserve"> </w:t>
      </w:r>
      <w:r w:rsidR="00D05DF6" w:rsidRPr="004E0E51">
        <w:t>paragraph 1</w:t>
      </w:r>
      <w:r w:rsidR="00A8131D" w:rsidRPr="004E0E51">
        <w:t>1</w:t>
      </w:r>
      <w:r w:rsidR="00D05DF6" w:rsidRPr="004E0E51">
        <w:t>.</w:t>
      </w:r>
      <w:r w:rsidR="004E0E51" w:rsidRPr="004E0E51">
        <w:t>14-11.17</w:t>
      </w:r>
      <w:r w:rsidRPr="004E0E51">
        <w:t xml:space="preserve"> when considering whether to engage a mediation/arbitration service.</w:t>
      </w:r>
      <w:bookmarkEnd w:id="71"/>
      <w:r w:rsidRPr="004E0E51">
        <w:t>  </w:t>
      </w:r>
      <w:bookmarkStart w:id="72" w:name="_Toc109832490"/>
    </w:p>
    <w:p w14:paraId="529D8EB6" w14:textId="40D2DA8F" w:rsidR="003A0CAC" w:rsidRDefault="6C8BBC09" w:rsidP="00AE0760">
      <w:pPr>
        <w:pStyle w:val="StatutoryGuidanceMainText"/>
        <w:numPr>
          <w:ilvl w:val="1"/>
          <w:numId w:val="27"/>
        </w:numPr>
        <w:ind w:left="754" w:hanging="612"/>
      </w:pPr>
      <w:r>
        <w:t xml:space="preserve">If the outcome of </w:t>
      </w:r>
      <w:r w:rsidR="71E86CC4">
        <w:t>appeal</w:t>
      </w:r>
      <w:r>
        <w:t xml:space="preserve"> to a mediation/arbitration service is that there is no agreement, </w:t>
      </w:r>
      <w:r w:rsidR="5F5938B3">
        <w:t xml:space="preserve">or mediation/arbitration is not a viable option (for example, because </w:t>
      </w:r>
      <w:r w:rsidR="0848CC5D">
        <w:t>the other party is not cooperating)</w:t>
      </w:r>
      <w:r w:rsidR="5F5938B3">
        <w:t xml:space="preserve"> </w:t>
      </w:r>
      <w:r>
        <w:t>there are additional options that the landlord may wish to consider</w:t>
      </w:r>
      <w:r w:rsidR="11AF1FC7">
        <w:t>,</w:t>
      </w:r>
      <w:r>
        <w:t xml:space="preserve"> including</w:t>
      </w:r>
      <w:r w:rsidR="00051E1A">
        <w:t>, but not limited to</w:t>
      </w:r>
      <w:r>
        <w:t>:</w:t>
      </w:r>
      <w:bookmarkEnd w:id="72"/>
      <w:r>
        <w:t> </w:t>
      </w:r>
    </w:p>
    <w:p w14:paraId="2CCF98B7" w14:textId="2A46137B" w:rsidR="00C04CD9" w:rsidRPr="003A0CAC" w:rsidRDefault="003A0CAC" w:rsidP="00AE0760">
      <w:pPr>
        <w:pStyle w:val="ListParagraph"/>
        <w:numPr>
          <w:ilvl w:val="2"/>
          <w:numId w:val="27"/>
        </w:numPr>
        <w:ind w:left="1843" w:hanging="851"/>
        <w:rPr>
          <w:rFonts w:ascii="Arial" w:hAnsi="Arial" w:cs="Arial"/>
        </w:rPr>
      </w:pPr>
      <w:r w:rsidRPr="003A0CAC">
        <w:rPr>
          <w:rFonts w:ascii="Arial" w:hAnsi="Arial" w:cs="Arial"/>
        </w:rPr>
        <w:t>the New Homes Ombudsman scheme  </w:t>
      </w:r>
    </w:p>
    <w:p w14:paraId="185EEEDD" w14:textId="75EC801C" w:rsidR="003A0CAC" w:rsidRPr="00C04CD9" w:rsidRDefault="003A0CAC" w:rsidP="00AE0760">
      <w:pPr>
        <w:pStyle w:val="ListParagraph"/>
        <w:numPr>
          <w:ilvl w:val="2"/>
          <w:numId w:val="27"/>
        </w:numPr>
        <w:spacing w:line="252" w:lineRule="auto"/>
        <w:ind w:left="1843" w:hanging="851"/>
        <w:rPr>
          <w:rFonts w:ascii="Arial" w:hAnsi="Arial" w:cs="Arial"/>
        </w:rPr>
      </w:pPr>
      <w:r w:rsidRPr="00C04CD9">
        <w:rPr>
          <w:rFonts w:ascii="Arial" w:hAnsi="Arial" w:cs="Arial"/>
        </w:rPr>
        <w:t xml:space="preserve">the Financial Ombudsman Services </w:t>
      </w:r>
      <w:r w:rsidR="000640F2" w:rsidRPr="00C04CD9">
        <w:rPr>
          <w:rFonts w:ascii="Arial" w:hAnsi="Arial" w:cs="Arial"/>
        </w:rPr>
        <w:t>(</w:t>
      </w:r>
      <w:r w:rsidRPr="00C04CD9">
        <w:rPr>
          <w:rFonts w:ascii="Arial" w:hAnsi="Arial" w:cs="Arial"/>
        </w:rPr>
        <w:t>could be an alternative avenue of cost recovery depending on the nature of the claim</w:t>
      </w:r>
      <w:r w:rsidR="000640F2" w:rsidRPr="00C04CD9">
        <w:rPr>
          <w:rFonts w:ascii="Arial" w:hAnsi="Arial" w:cs="Arial"/>
        </w:rPr>
        <w:t>)</w:t>
      </w:r>
      <w:r w:rsidRPr="00C04CD9">
        <w:rPr>
          <w:rFonts w:ascii="Arial" w:hAnsi="Arial" w:cs="Arial"/>
        </w:rPr>
        <w:t>  </w:t>
      </w:r>
    </w:p>
    <w:p w14:paraId="72CA2082" w14:textId="44A511AF" w:rsidR="00767F68" w:rsidRDefault="00805545" w:rsidP="00AE0760">
      <w:pPr>
        <w:pStyle w:val="StatutoryGuidanceMainText"/>
        <w:numPr>
          <w:ilvl w:val="1"/>
          <w:numId w:val="27"/>
        </w:numPr>
        <w:ind w:hanging="595"/>
      </w:pPr>
      <w:bookmarkStart w:id="73" w:name="_Toc109832491"/>
      <w:r>
        <w:t xml:space="preserve">Pursing third parties </w:t>
      </w:r>
      <w:r w:rsidR="005D7048" w:rsidRPr="00EA10E5">
        <w:t>is discussed in further detail in</w:t>
      </w:r>
      <w:r w:rsidR="00B02DAD">
        <w:t xml:space="preserve"> </w:t>
      </w:r>
      <w:r w:rsidR="00B02DAD" w:rsidRPr="004E0E51">
        <w:t>section 1</w:t>
      </w:r>
      <w:r w:rsidR="002216DC" w:rsidRPr="004E0E51">
        <w:t>1</w:t>
      </w:r>
      <w:r w:rsidR="005D7048" w:rsidRPr="004E0E51">
        <w:t xml:space="preserve"> </w:t>
      </w:r>
      <w:r w:rsidR="005D7048" w:rsidRPr="00EA10E5">
        <w:t xml:space="preserve">of this guidance. If the landlord is not in possession of any other possibilities </w:t>
      </w:r>
      <w:r w:rsidR="004924C5">
        <w:t>for</w:t>
      </w:r>
      <w:r w:rsidR="004924C5" w:rsidRPr="00EA10E5">
        <w:t xml:space="preserve"> </w:t>
      </w:r>
      <w:r w:rsidR="005D7048" w:rsidRPr="00EA10E5">
        <w:t xml:space="preserve">cost recovery via insurance or warranties, the landlord </w:t>
      </w:r>
      <w:r w:rsidR="000E3ADD">
        <w:t>should</w:t>
      </w:r>
      <w:r w:rsidR="000E3ADD" w:rsidRPr="00EA10E5">
        <w:t xml:space="preserve"> </w:t>
      </w:r>
      <w:r w:rsidR="00AE6B2C" w:rsidRPr="00EA10E5">
        <w:t xml:space="preserve">take reasonable steps to </w:t>
      </w:r>
      <w:r w:rsidR="005D7048" w:rsidRPr="00EA10E5">
        <w:t>seek legal advice on the viability of pursuing cost recovery through litigation.</w:t>
      </w:r>
      <w:bookmarkEnd w:id="73"/>
      <w:r w:rsidR="005D7048" w:rsidRPr="00EA10E5">
        <w:t>   </w:t>
      </w:r>
    </w:p>
    <w:p w14:paraId="4EE04F02" w14:textId="77777777" w:rsidR="004E0E51" w:rsidRPr="00EA10E5" w:rsidRDefault="004E0E51" w:rsidP="004E0E51">
      <w:pPr>
        <w:pStyle w:val="StatutoryGuidanceMainText"/>
        <w:numPr>
          <w:ilvl w:val="0"/>
          <w:numId w:val="0"/>
        </w:numPr>
        <w:ind w:left="704"/>
      </w:pPr>
    </w:p>
    <w:p w14:paraId="0FCB2359" w14:textId="6BA8317E" w:rsidR="00F75000" w:rsidRPr="00AE0760" w:rsidRDefault="00703B45" w:rsidP="00724915">
      <w:pPr>
        <w:pStyle w:val="Heading2"/>
        <w:numPr>
          <w:ilvl w:val="0"/>
          <w:numId w:val="0"/>
        </w:numPr>
        <w:ind w:left="754" w:hanging="612"/>
        <w:rPr>
          <w:rStyle w:val="eop"/>
          <w:rFonts w:cs="Arial"/>
        </w:rPr>
      </w:pPr>
      <w:bookmarkStart w:id="74" w:name="_Toc109834592"/>
      <w:bookmarkStart w:id="75" w:name="_Toc109834656"/>
      <w:bookmarkStart w:id="76" w:name="_Toc109903928"/>
      <w:bookmarkStart w:id="77" w:name="_Toc109832492"/>
      <w:bookmarkStart w:id="78" w:name="_Toc115948289"/>
      <w:bookmarkEnd w:id="74"/>
      <w:bookmarkEnd w:id="75"/>
      <w:bookmarkEnd w:id="76"/>
      <w:r w:rsidRPr="00AE0760">
        <w:rPr>
          <w:rStyle w:val="normaltextrun"/>
          <w:rFonts w:cs="Arial"/>
          <w:szCs w:val="28"/>
        </w:rPr>
        <w:lastRenderedPageBreak/>
        <w:t>1</w:t>
      </w:r>
      <w:r w:rsidR="00AE0760">
        <w:rPr>
          <w:rStyle w:val="normaltextrun"/>
          <w:rFonts w:cs="Arial"/>
          <w:szCs w:val="28"/>
        </w:rPr>
        <w:t>1</w:t>
      </w:r>
      <w:r w:rsidRPr="00AE0760">
        <w:rPr>
          <w:rStyle w:val="normaltextrun"/>
          <w:rFonts w:cs="Arial"/>
          <w:szCs w:val="28"/>
        </w:rPr>
        <w:t xml:space="preserve">. </w:t>
      </w:r>
      <w:r w:rsidR="009364A8" w:rsidRPr="00AE0760">
        <w:rPr>
          <w:rStyle w:val="normaltextrun"/>
          <w:rFonts w:cs="Arial"/>
          <w:szCs w:val="28"/>
        </w:rPr>
        <w:t>Pursuing t</w:t>
      </w:r>
      <w:r w:rsidR="00C23BC4" w:rsidRPr="00AE0760">
        <w:rPr>
          <w:rStyle w:val="normaltextrun"/>
          <w:rFonts w:cs="Arial"/>
          <w:szCs w:val="28"/>
        </w:rPr>
        <w:t>hird</w:t>
      </w:r>
      <w:r w:rsidR="001E41FD" w:rsidRPr="00AE0760">
        <w:rPr>
          <w:rStyle w:val="normaltextrun"/>
          <w:rFonts w:cs="Arial"/>
          <w:szCs w:val="28"/>
        </w:rPr>
        <w:t xml:space="preserve"> </w:t>
      </w:r>
      <w:r w:rsidR="00C23BC4" w:rsidRPr="00AE0760">
        <w:rPr>
          <w:rStyle w:val="normaltextrun"/>
          <w:rFonts w:cs="Arial"/>
          <w:szCs w:val="28"/>
        </w:rPr>
        <w:t>part</w:t>
      </w:r>
      <w:r w:rsidR="009364A8" w:rsidRPr="00AE0760">
        <w:rPr>
          <w:rStyle w:val="normaltextrun"/>
          <w:rFonts w:cs="Arial"/>
          <w:szCs w:val="28"/>
        </w:rPr>
        <w:t>ies</w:t>
      </w:r>
      <w:bookmarkEnd w:id="77"/>
      <w:bookmarkEnd w:id="78"/>
    </w:p>
    <w:p w14:paraId="62EF6AC9" w14:textId="4D304760" w:rsidR="00C04CD9" w:rsidRDefault="00590D88" w:rsidP="00AE0760">
      <w:pPr>
        <w:pStyle w:val="StatutoryGuidanceMainText"/>
        <w:numPr>
          <w:ilvl w:val="1"/>
          <w:numId w:val="28"/>
        </w:numPr>
        <w:ind w:left="612" w:hanging="612"/>
      </w:pPr>
      <w:bookmarkStart w:id="79" w:name="_Toc109832493"/>
      <w:r>
        <w:t>L</w:t>
      </w:r>
      <w:r w:rsidR="6C8BBC09">
        <w:t xml:space="preserve">andlords </w:t>
      </w:r>
      <w:r w:rsidR="008C5249">
        <w:t xml:space="preserve">should </w:t>
      </w:r>
      <w:r w:rsidR="6C8BBC09">
        <w:t xml:space="preserve">take reasonable steps to </w:t>
      </w:r>
      <w:r w:rsidR="00FC09AB">
        <w:t xml:space="preserve">ascertain whether </w:t>
      </w:r>
      <w:r w:rsidR="005C1EFA">
        <w:t>they can recover funds f</w:t>
      </w:r>
      <w:r w:rsidR="005C1EFA" w:rsidRPr="005C1EFA">
        <w:t xml:space="preserve">rom a third party in connection with the undertaking of the remediation works and, if so, to obtain monies from the third </w:t>
      </w:r>
      <w:r w:rsidR="726F36D1">
        <w:t>par</w:t>
      </w:r>
      <w:r w:rsidR="00C062C7">
        <w:t>ty</w:t>
      </w:r>
      <w:r w:rsidR="6C8BBC09">
        <w:t>.</w:t>
      </w:r>
    </w:p>
    <w:p w14:paraId="44BA4AF3" w14:textId="1B138858" w:rsidR="00AE0760" w:rsidRDefault="00AE0760" w:rsidP="00AE0760">
      <w:pPr>
        <w:pStyle w:val="StatutoryGuidanceMainText"/>
        <w:numPr>
          <w:ilvl w:val="1"/>
          <w:numId w:val="28"/>
        </w:numPr>
        <w:ind w:left="612" w:hanging="612"/>
      </w:pPr>
      <w:bookmarkStart w:id="80" w:name="_Toc109832495"/>
      <w:r w:rsidRPr="00AE0760">
        <w:t>The landlord should note that at any time during the proceedings, the parties can engage in settlement discussions and litigation should be a last resort. Compliance with pre-action protocols may provide the landlord with opportunities to reduce costs, avoid legal costs, and find quicker routes to resolve disputes before the matter reaches court. More information on pre-action protocols can be found in paragraphs 12.9-12.12 of this guidance. </w:t>
      </w:r>
      <w:bookmarkEnd w:id="80"/>
    </w:p>
    <w:bookmarkEnd w:id="79"/>
    <w:p w14:paraId="615CA07D" w14:textId="77777777" w:rsidR="004134D6" w:rsidRDefault="00AE0760" w:rsidP="004134D6">
      <w:pPr>
        <w:pStyle w:val="StatutoryGuidanceMainText"/>
        <w:numPr>
          <w:ilvl w:val="1"/>
          <w:numId w:val="28"/>
        </w:numPr>
        <w:ind w:left="612" w:hanging="612"/>
      </w:pPr>
      <w:r w:rsidRPr="004E0E51">
        <w:t>Information about passing on legal expenses</w:t>
      </w:r>
      <w:r w:rsidR="002216DC" w:rsidRPr="004E0E51">
        <w:t xml:space="preserve"> to leaseholders</w:t>
      </w:r>
      <w:r w:rsidRPr="004E0E51">
        <w:t xml:space="preserve"> can be found in paragraphs 5.</w:t>
      </w:r>
      <w:r w:rsidR="002216DC" w:rsidRPr="004E0E51">
        <w:t>5</w:t>
      </w:r>
      <w:r w:rsidRPr="004E0E51">
        <w:t xml:space="preserve"> and 5.</w:t>
      </w:r>
      <w:r w:rsidR="002216DC" w:rsidRPr="004E0E51">
        <w:t>6</w:t>
      </w:r>
      <w:r w:rsidRPr="004E0E51">
        <w:t xml:space="preserve"> of this guidance.</w:t>
      </w:r>
    </w:p>
    <w:p w14:paraId="7E21AC72" w14:textId="7337E900" w:rsidR="00EA1899" w:rsidRDefault="00EA1899" w:rsidP="004134D6">
      <w:pPr>
        <w:pStyle w:val="StatutoryGuidanceMainText"/>
        <w:numPr>
          <w:ilvl w:val="1"/>
          <w:numId w:val="28"/>
        </w:numPr>
        <w:ind w:left="612" w:hanging="612"/>
      </w:pPr>
      <w:r w:rsidRPr="00EA1899">
        <w:t>In accordance with new section 20</w:t>
      </w:r>
      <w:proofErr w:type="gramStart"/>
      <w:r w:rsidRPr="00EA1899">
        <w:t>D(</w:t>
      </w:r>
      <w:proofErr w:type="gramEnd"/>
      <w:r w:rsidRPr="00EA1899">
        <w:t>8) Landlord and Tenant Act 1985, the landlord is not required to have pursued any alternative avenues of cost recovery, or to have done anything in relation to pursuing these avenues, before carrying out remediation works. The expectation is that landlords will commence remediation works. even if the monies are not guaranteed from alternative cost recovery avenues.</w:t>
      </w:r>
    </w:p>
    <w:p w14:paraId="6EB91017" w14:textId="77777777" w:rsidR="00EA1899" w:rsidRDefault="00EA1899" w:rsidP="00EA1899">
      <w:pPr>
        <w:pStyle w:val="StatutoryGuidanceMainText"/>
        <w:numPr>
          <w:ilvl w:val="0"/>
          <w:numId w:val="0"/>
        </w:numPr>
        <w:ind w:left="612"/>
      </w:pPr>
    </w:p>
    <w:p w14:paraId="729D6317" w14:textId="297E0A34" w:rsidR="00DA39B5" w:rsidRPr="00E70BC9" w:rsidRDefault="005D7048" w:rsidP="00633473">
      <w:pPr>
        <w:pStyle w:val="paragraph"/>
        <w:numPr>
          <w:ilvl w:val="0"/>
          <w:numId w:val="5"/>
        </w:numPr>
        <w:spacing w:before="0" w:beforeAutospacing="0" w:after="0" w:afterAutospacing="0"/>
        <w:textAlignment w:val="baseline"/>
        <w:rPr>
          <w:rStyle w:val="eop"/>
          <w:rFonts w:ascii="Arial" w:hAnsi="Arial" w:cs="Arial"/>
          <w:b/>
          <w:bCs/>
          <w:i/>
          <w:iCs/>
          <w:sz w:val="22"/>
          <w:szCs w:val="22"/>
        </w:rPr>
      </w:pPr>
      <w:r w:rsidRPr="00E70BC9">
        <w:rPr>
          <w:rStyle w:val="normaltextrun"/>
          <w:rFonts w:ascii="Arial" w:hAnsi="Arial" w:cs="Arial"/>
          <w:b/>
          <w:bCs/>
          <w:i/>
          <w:iCs/>
          <w:sz w:val="22"/>
          <w:szCs w:val="22"/>
        </w:rPr>
        <w:t xml:space="preserve">Initial </w:t>
      </w:r>
      <w:r w:rsidR="005027DD">
        <w:rPr>
          <w:rStyle w:val="normaltextrun"/>
          <w:rFonts w:ascii="Arial" w:hAnsi="Arial" w:cs="Arial"/>
          <w:b/>
          <w:bCs/>
          <w:i/>
          <w:iCs/>
          <w:sz w:val="22"/>
          <w:szCs w:val="22"/>
        </w:rPr>
        <w:t>s</w:t>
      </w:r>
      <w:r w:rsidRPr="00E70BC9">
        <w:rPr>
          <w:rStyle w:val="normaltextrun"/>
          <w:rFonts w:ascii="Arial" w:hAnsi="Arial" w:cs="Arial"/>
          <w:b/>
          <w:bCs/>
          <w:i/>
          <w:iCs/>
          <w:sz w:val="22"/>
          <w:szCs w:val="22"/>
        </w:rPr>
        <w:t>teps</w:t>
      </w:r>
      <w:r w:rsidRPr="00E70BC9">
        <w:rPr>
          <w:rStyle w:val="eop"/>
          <w:rFonts w:ascii="Arial" w:hAnsi="Arial" w:cs="Arial"/>
          <w:b/>
          <w:bCs/>
          <w:i/>
          <w:iCs/>
          <w:sz w:val="22"/>
          <w:szCs w:val="22"/>
        </w:rPr>
        <w:t> </w:t>
      </w:r>
    </w:p>
    <w:p w14:paraId="15CB6E22" w14:textId="77777777" w:rsidR="007B1D27" w:rsidRDefault="00ED2C72" w:rsidP="007B1D27">
      <w:pPr>
        <w:pStyle w:val="StatutoryGuidanceMainText"/>
        <w:numPr>
          <w:ilvl w:val="1"/>
          <w:numId w:val="28"/>
        </w:numPr>
        <w:ind w:left="612" w:hanging="612"/>
      </w:pPr>
      <w:bookmarkStart w:id="81" w:name="_Toc109832497"/>
      <w:r w:rsidRPr="00C04CD9">
        <w:t>The landlord should first seek independent legal advice regarding the likelihood of successfully recovering costs</w:t>
      </w:r>
      <w:r>
        <w:t xml:space="preserve"> or partial costs of remediation works</w:t>
      </w:r>
      <w:r w:rsidRPr="00C04CD9">
        <w:t xml:space="preserve"> from the third party. </w:t>
      </w:r>
      <w:bookmarkEnd w:id="81"/>
      <w:r w:rsidR="00DB7EDC">
        <w:t xml:space="preserve">This should be carefully considered to determine whether it is feasible to </w:t>
      </w:r>
      <w:r w:rsidR="00CF213F">
        <w:t>recover costs</w:t>
      </w:r>
      <w:r w:rsidR="108A7D27">
        <w:t xml:space="preserve">. </w:t>
      </w:r>
      <w:bookmarkStart w:id="82" w:name="_Toc109832498"/>
    </w:p>
    <w:p w14:paraId="66C04E11" w14:textId="4E5E6166" w:rsidR="000E6554" w:rsidRPr="007B1D27" w:rsidRDefault="000E6554" w:rsidP="007B1D27">
      <w:pPr>
        <w:pStyle w:val="StatutoryGuidanceMainText"/>
        <w:numPr>
          <w:ilvl w:val="1"/>
          <w:numId w:val="28"/>
        </w:numPr>
        <w:ind w:left="612" w:hanging="612"/>
      </w:pPr>
      <w:r w:rsidRPr="007B1D27">
        <w:t xml:space="preserve">Landlords should consider pursuing a pre-action protocol with a view to reaching a settlement. </w:t>
      </w:r>
    </w:p>
    <w:p w14:paraId="5C60428A" w14:textId="1113EF0D" w:rsidR="00957C6C" w:rsidRDefault="00957C6C" w:rsidP="00AE0760">
      <w:pPr>
        <w:pStyle w:val="StatutoryGuidanceMainText"/>
        <w:numPr>
          <w:ilvl w:val="1"/>
          <w:numId w:val="28"/>
        </w:numPr>
        <w:ind w:left="612" w:hanging="612"/>
      </w:pPr>
      <w:r>
        <w:t xml:space="preserve">Once the landlord has instructed legal advisors, then the lawyers will be able to advise on whether there may be a feasible claim. The lawyers will also be able to advise on the material which should be collected, the identification of witnesses of fact, and the identification and instruction of </w:t>
      </w:r>
      <w:r w:rsidR="00CC4323">
        <w:t xml:space="preserve">any </w:t>
      </w:r>
      <w:r>
        <w:t xml:space="preserve">expert witnesses. </w:t>
      </w:r>
      <w:r w:rsidR="005D229F">
        <w:t xml:space="preserve">The </w:t>
      </w:r>
      <w:r>
        <w:t>landlord should aim to carry out this process and collect information in a thorough and timely manner.</w:t>
      </w:r>
    </w:p>
    <w:p w14:paraId="1731E705" w14:textId="28263231" w:rsidR="005D7048" w:rsidRPr="00EA10E5" w:rsidRDefault="005D7048" w:rsidP="00AE0760">
      <w:pPr>
        <w:pStyle w:val="StatutoryGuidanceMainText"/>
        <w:numPr>
          <w:ilvl w:val="1"/>
          <w:numId w:val="28"/>
        </w:numPr>
        <w:ind w:left="612" w:hanging="612"/>
      </w:pPr>
      <w:r w:rsidRPr="00EA10E5">
        <w:t xml:space="preserve">Third parties that the landlord may wish to pursue </w:t>
      </w:r>
      <w:proofErr w:type="gramStart"/>
      <w:r w:rsidRPr="00EA10E5">
        <w:t>in order to</w:t>
      </w:r>
      <w:proofErr w:type="gramEnd"/>
      <w:r w:rsidRPr="00EA10E5">
        <w:t xml:space="preserve"> recover costs of remediation include</w:t>
      </w:r>
      <w:r w:rsidR="002A5F92">
        <w:t>, but are not limited to,</w:t>
      </w:r>
      <w:r w:rsidR="00A90A9E">
        <w:t xml:space="preserve"> </w:t>
      </w:r>
      <w:r w:rsidR="00EF5C7D">
        <w:t>any of the following</w:t>
      </w:r>
      <w:r w:rsidRPr="00EA10E5">
        <w:t>:</w:t>
      </w:r>
      <w:bookmarkEnd w:id="82"/>
      <w:r w:rsidRPr="00EA10E5">
        <w:t> </w:t>
      </w:r>
    </w:p>
    <w:p w14:paraId="70785AD8" w14:textId="2F167BC3" w:rsidR="005D7048" w:rsidRPr="00EA10E5" w:rsidRDefault="00F07502" w:rsidP="00633473">
      <w:pPr>
        <w:pStyle w:val="ListParagraph"/>
        <w:numPr>
          <w:ilvl w:val="0"/>
          <w:numId w:val="4"/>
        </w:numPr>
        <w:ind w:hanging="595"/>
      </w:pPr>
      <w:r>
        <w:rPr>
          <w:rStyle w:val="normaltextrun"/>
          <w:rFonts w:ascii="Arial" w:hAnsi="Arial" w:cs="Arial"/>
        </w:rPr>
        <w:t>D</w:t>
      </w:r>
      <w:r w:rsidR="005D7048" w:rsidRPr="00D527F5">
        <w:rPr>
          <w:rStyle w:val="normaltextrun"/>
          <w:rFonts w:ascii="Arial" w:hAnsi="Arial" w:cs="Arial"/>
        </w:rPr>
        <w:t>evelopers</w:t>
      </w:r>
      <w:r w:rsidR="005D7048" w:rsidRPr="00D527F5">
        <w:rPr>
          <w:rStyle w:val="eop"/>
          <w:rFonts w:ascii="Arial" w:hAnsi="Arial" w:cs="Arial"/>
        </w:rPr>
        <w:t> </w:t>
      </w:r>
    </w:p>
    <w:p w14:paraId="5441FADE" w14:textId="0E2F4649" w:rsidR="005D7048" w:rsidRPr="00EA10E5" w:rsidRDefault="00F07502" w:rsidP="00633473">
      <w:pPr>
        <w:pStyle w:val="ListParagraph"/>
        <w:numPr>
          <w:ilvl w:val="0"/>
          <w:numId w:val="4"/>
        </w:numPr>
        <w:ind w:hanging="595"/>
      </w:pPr>
      <w:r>
        <w:rPr>
          <w:rStyle w:val="normaltextrun"/>
          <w:rFonts w:ascii="Arial" w:hAnsi="Arial" w:cs="Arial"/>
        </w:rPr>
        <w:t>C</w:t>
      </w:r>
      <w:r w:rsidR="005D7048" w:rsidRPr="00D527F5">
        <w:rPr>
          <w:rStyle w:val="normaltextrun"/>
          <w:rFonts w:ascii="Arial" w:hAnsi="Arial" w:cs="Arial"/>
        </w:rPr>
        <w:t>ontractors</w:t>
      </w:r>
      <w:r w:rsidR="005D7048" w:rsidRPr="00D527F5">
        <w:rPr>
          <w:rStyle w:val="eop"/>
          <w:rFonts w:ascii="Arial" w:hAnsi="Arial" w:cs="Arial"/>
        </w:rPr>
        <w:t> </w:t>
      </w:r>
    </w:p>
    <w:p w14:paraId="0241EDCB" w14:textId="6FD82845" w:rsidR="005D7048" w:rsidRPr="00EA10E5" w:rsidRDefault="00F07502" w:rsidP="00633473">
      <w:pPr>
        <w:pStyle w:val="ListParagraph"/>
        <w:numPr>
          <w:ilvl w:val="0"/>
          <w:numId w:val="4"/>
        </w:numPr>
        <w:ind w:hanging="595"/>
      </w:pPr>
      <w:r>
        <w:rPr>
          <w:rStyle w:val="normaltextrun"/>
          <w:rFonts w:ascii="Arial" w:hAnsi="Arial" w:cs="Arial"/>
        </w:rPr>
        <w:t>Su</w:t>
      </w:r>
      <w:r w:rsidR="005D7048" w:rsidRPr="00D527F5">
        <w:rPr>
          <w:rStyle w:val="normaltextrun"/>
          <w:rFonts w:ascii="Arial" w:hAnsi="Arial" w:cs="Arial"/>
        </w:rPr>
        <w:t>ppliers</w:t>
      </w:r>
      <w:r w:rsidR="005D7048" w:rsidRPr="00D527F5">
        <w:rPr>
          <w:rStyle w:val="eop"/>
          <w:rFonts w:ascii="Arial" w:hAnsi="Arial" w:cs="Arial"/>
        </w:rPr>
        <w:t> </w:t>
      </w:r>
    </w:p>
    <w:p w14:paraId="364C41BD" w14:textId="45B96615" w:rsidR="005D7048" w:rsidRDefault="00F07502" w:rsidP="00633473">
      <w:pPr>
        <w:pStyle w:val="ListParagraph"/>
        <w:numPr>
          <w:ilvl w:val="0"/>
          <w:numId w:val="4"/>
        </w:numPr>
        <w:ind w:hanging="595"/>
        <w:rPr>
          <w:rStyle w:val="eop"/>
          <w:rFonts w:ascii="Arial" w:hAnsi="Arial" w:cs="Arial"/>
        </w:rPr>
      </w:pPr>
      <w:r>
        <w:rPr>
          <w:rStyle w:val="normaltextrun"/>
          <w:rFonts w:ascii="Arial" w:hAnsi="Arial" w:cs="Arial"/>
        </w:rPr>
        <w:t>Pro</w:t>
      </w:r>
      <w:r w:rsidR="005D7048" w:rsidRPr="00D527F5">
        <w:rPr>
          <w:rStyle w:val="normaltextrun"/>
          <w:rFonts w:ascii="Arial" w:hAnsi="Arial" w:cs="Arial"/>
        </w:rPr>
        <w:t>duct manufacturers</w:t>
      </w:r>
      <w:r w:rsidR="005D7048" w:rsidRPr="00D527F5">
        <w:rPr>
          <w:rStyle w:val="eop"/>
          <w:rFonts w:ascii="Arial" w:hAnsi="Arial" w:cs="Arial"/>
        </w:rPr>
        <w:t> </w:t>
      </w:r>
    </w:p>
    <w:p w14:paraId="65D78BB4" w14:textId="77777777" w:rsidR="008F0706" w:rsidRPr="00D527F5" w:rsidRDefault="008F0706" w:rsidP="008F0706">
      <w:pPr>
        <w:pStyle w:val="ListParagraph"/>
        <w:ind w:left="1440" w:firstLine="0"/>
        <w:rPr>
          <w:rStyle w:val="eop"/>
          <w:rFonts w:ascii="Arial" w:hAnsi="Arial" w:cs="Arial"/>
        </w:rPr>
      </w:pPr>
    </w:p>
    <w:p w14:paraId="2AC6C6B3" w14:textId="3FEC5631" w:rsidR="003A2B93" w:rsidRPr="00E70BC9" w:rsidRDefault="00A3673C" w:rsidP="00633473">
      <w:pPr>
        <w:pStyle w:val="paragraph"/>
        <w:numPr>
          <w:ilvl w:val="0"/>
          <w:numId w:val="5"/>
        </w:numPr>
        <w:spacing w:before="0" w:beforeAutospacing="0" w:after="0" w:afterAutospacing="0"/>
        <w:textAlignment w:val="baseline"/>
        <w:rPr>
          <w:rStyle w:val="eop"/>
          <w:rFonts w:ascii="Arial" w:hAnsi="Arial" w:cs="Arial"/>
          <w:b/>
          <w:bCs/>
          <w:i/>
          <w:iCs/>
          <w:sz w:val="22"/>
          <w:szCs w:val="22"/>
        </w:rPr>
      </w:pPr>
      <w:r w:rsidRPr="00E70BC9">
        <w:rPr>
          <w:rStyle w:val="normaltextrun"/>
          <w:rFonts w:ascii="Arial" w:hAnsi="Arial" w:cs="Arial"/>
          <w:b/>
          <w:bCs/>
          <w:i/>
          <w:iCs/>
          <w:sz w:val="22"/>
          <w:szCs w:val="22"/>
        </w:rPr>
        <w:t xml:space="preserve">Settlement </w:t>
      </w:r>
      <w:r w:rsidR="00795EE2">
        <w:rPr>
          <w:rStyle w:val="normaltextrun"/>
          <w:rFonts w:ascii="Arial" w:hAnsi="Arial" w:cs="Arial"/>
          <w:b/>
          <w:bCs/>
          <w:i/>
          <w:iCs/>
          <w:sz w:val="22"/>
          <w:szCs w:val="22"/>
        </w:rPr>
        <w:t>d</w:t>
      </w:r>
      <w:r w:rsidRPr="00E70BC9">
        <w:rPr>
          <w:rStyle w:val="normaltextrun"/>
          <w:rFonts w:ascii="Arial" w:hAnsi="Arial" w:cs="Arial"/>
          <w:b/>
          <w:bCs/>
          <w:i/>
          <w:iCs/>
          <w:sz w:val="22"/>
          <w:szCs w:val="22"/>
        </w:rPr>
        <w:t>iscussions</w:t>
      </w:r>
    </w:p>
    <w:p w14:paraId="37CFBDE1" w14:textId="786AB608" w:rsidR="00AC660F" w:rsidRDefault="009174C6" w:rsidP="00AE0760">
      <w:pPr>
        <w:pStyle w:val="StatutoryGuidanceMainText"/>
        <w:numPr>
          <w:ilvl w:val="1"/>
          <w:numId w:val="28"/>
        </w:numPr>
        <w:ind w:left="612" w:hanging="612"/>
      </w:pPr>
      <w:bookmarkStart w:id="83" w:name="_Toc109832502"/>
      <w:r>
        <w:t>Where appropriate, the landlord should attempt to enter negotiations before pursuing formal litigation</w:t>
      </w:r>
      <w:r w:rsidR="00C15AD2">
        <w:t>. F</w:t>
      </w:r>
      <w:r>
        <w:t>or example, if there is enough time to pursue a pre-action protocol before litigation</w:t>
      </w:r>
      <w:r w:rsidR="00C15AD2">
        <w:t>, the landlord should do so</w:t>
      </w:r>
      <w:r w:rsidR="00AC660F">
        <w:t>.</w:t>
      </w:r>
      <w:r>
        <w:t xml:space="preserve"> </w:t>
      </w:r>
    </w:p>
    <w:p w14:paraId="020BD3E8" w14:textId="77777777" w:rsidR="00EE5E94" w:rsidRDefault="00EE5E94" w:rsidP="00EE5E94">
      <w:pPr>
        <w:pStyle w:val="StatutoryGuidanceMainText"/>
        <w:numPr>
          <w:ilvl w:val="1"/>
          <w:numId w:val="28"/>
        </w:numPr>
        <w:ind w:left="612" w:hanging="612"/>
      </w:pPr>
      <w:bookmarkStart w:id="84" w:name="_Toc109832501"/>
      <w:r>
        <w:lastRenderedPageBreak/>
        <w:t xml:space="preserve">Legal advice may be that a claim is likely to be successful, or that where there are lower prospects of success, there may still be room for negotiation. </w:t>
      </w:r>
    </w:p>
    <w:bookmarkEnd w:id="84"/>
    <w:p w14:paraId="5213D230" w14:textId="7CF8079A" w:rsidR="003A2B93" w:rsidRPr="00EA10E5" w:rsidRDefault="003A2B93" w:rsidP="00AE0760">
      <w:pPr>
        <w:pStyle w:val="StatutoryGuidanceMainText"/>
        <w:numPr>
          <w:ilvl w:val="1"/>
          <w:numId w:val="28"/>
        </w:numPr>
        <w:ind w:left="612" w:hanging="612"/>
      </w:pPr>
      <w:r>
        <w:t xml:space="preserve">Pre-action </w:t>
      </w:r>
      <w:r w:rsidR="00C35B13">
        <w:t>protocols</w:t>
      </w:r>
      <w:r>
        <w:t xml:space="preserve"> explain the conduct and set out the steps the court would normally expect parties to take before commencing litigation. The court will expect the parties to have exchanged sufficient information to:</w:t>
      </w:r>
      <w:bookmarkEnd w:id="83"/>
      <w:r>
        <w:t> </w:t>
      </w:r>
    </w:p>
    <w:p w14:paraId="5D7369F5" w14:textId="071DB7FD" w:rsidR="003A2B93" w:rsidRPr="00EA10E5" w:rsidRDefault="00F07502" w:rsidP="00633473">
      <w:pPr>
        <w:pStyle w:val="ListParagraph"/>
        <w:numPr>
          <w:ilvl w:val="0"/>
          <w:numId w:val="3"/>
        </w:numPr>
        <w:rPr>
          <w:rFonts w:ascii="Arial" w:hAnsi="Arial" w:cs="Arial"/>
        </w:rPr>
      </w:pPr>
      <w:r>
        <w:rPr>
          <w:rStyle w:val="normaltextrun"/>
          <w:rFonts w:ascii="Arial" w:hAnsi="Arial" w:cs="Arial"/>
        </w:rPr>
        <w:t>U</w:t>
      </w:r>
      <w:r w:rsidR="003A2B93" w:rsidRPr="00EA10E5">
        <w:rPr>
          <w:rStyle w:val="normaltextrun"/>
          <w:rFonts w:ascii="Arial" w:hAnsi="Arial" w:cs="Arial"/>
        </w:rPr>
        <w:t>nderstand each other’s position</w:t>
      </w:r>
      <w:r w:rsidR="003A2B93" w:rsidRPr="00EA10E5">
        <w:rPr>
          <w:rStyle w:val="eop"/>
          <w:rFonts w:ascii="Arial" w:hAnsi="Arial" w:cs="Arial"/>
        </w:rPr>
        <w:t> </w:t>
      </w:r>
    </w:p>
    <w:p w14:paraId="2FB4B2C6" w14:textId="0D8D330A" w:rsidR="003A2B93" w:rsidRPr="00EA10E5" w:rsidRDefault="00F07502" w:rsidP="00633473">
      <w:pPr>
        <w:pStyle w:val="ListParagraph"/>
        <w:numPr>
          <w:ilvl w:val="0"/>
          <w:numId w:val="3"/>
        </w:numPr>
        <w:rPr>
          <w:rFonts w:ascii="Arial" w:hAnsi="Arial" w:cs="Arial"/>
        </w:rPr>
      </w:pPr>
      <w:r>
        <w:rPr>
          <w:rStyle w:val="normaltextrun"/>
          <w:rFonts w:ascii="Arial" w:hAnsi="Arial" w:cs="Arial"/>
        </w:rPr>
        <w:t>M</w:t>
      </w:r>
      <w:r w:rsidR="004D28CD">
        <w:rPr>
          <w:rStyle w:val="normaltextrun"/>
          <w:rFonts w:ascii="Arial" w:hAnsi="Arial" w:cs="Arial"/>
        </w:rPr>
        <w:t>a</w:t>
      </w:r>
      <w:r w:rsidR="003A2B93" w:rsidRPr="00EA10E5">
        <w:rPr>
          <w:rStyle w:val="normaltextrun"/>
          <w:rFonts w:ascii="Arial" w:hAnsi="Arial" w:cs="Arial"/>
        </w:rPr>
        <w:t>ke decisions about how to proceed</w:t>
      </w:r>
      <w:r w:rsidR="003A2B93" w:rsidRPr="00EA10E5">
        <w:rPr>
          <w:rStyle w:val="eop"/>
          <w:rFonts w:ascii="Arial" w:hAnsi="Arial" w:cs="Arial"/>
        </w:rPr>
        <w:t> </w:t>
      </w:r>
    </w:p>
    <w:p w14:paraId="423B1671" w14:textId="64F0725B" w:rsidR="003A2B93" w:rsidRPr="00EA10E5" w:rsidRDefault="00F07502" w:rsidP="00633473">
      <w:pPr>
        <w:pStyle w:val="ListParagraph"/>
        <w:numPr>
          <w:ilvl w:val="0"/>
          <w:numId w:val="3"/>
        </w:numPr>
        <w:rPr>
          <w:rFonts w:ascii="Arial" w:hAnsi="Arial" w:cs="Arial"/>
        </w:rPr>
      </w:pPr>
      <w:r>
        <w:rPr>
          <w:rStyle w:val="normaltextrun"/>
          <w:rFonts w:ascii="Arial" w:hAnsi="Arial" w:cs="Arial"/>
        </w:rPr>
        <w:t>Tr</w:t>
      </w:r>
      <w:r w:rsidR="003A2B93" w:rsidRPr="00EA10E5">
        <w:rPr>
          <w:rStyle w:val="normaltextrun"/>
          <w:rFonts w:ascii="Arial" w:hAnsi="Arial" w:cs="Arial"/>
        </w:rPr>
        <w:t>y to settle the issues without proceedings</w:t>
      </w:r>
      <w:r w:rsidR="003A2B93" w:rsidRPr="00EA10E5">
        <w:rPr>
          <w:rStyle w:val="eop"/>
          <w:rFonts w:ascii="Arial" w:hAnsi="Arial" w:cs="Arial"/>
        </w:rPr>
        <w:t> </w:t>
      </w:r>
    </w:p>
    <w:p w14:paraId="6FD8D5F3" w14:textId="385192E3" w:rsidR="003A2B93" w:rsidRPr="00EA10E5" w:rsidRDefault="00F07502" w:rsidP="00633473">
      <w:pPr>
        <w:pStyle w:val="ListParagraph"/>
        <w:numPr>
          <w:ilvl w:val="0"/>
          <w:numId w:val="3"/>
        </w:numPr>
        <w:rPr>
          <w:rFonts w:ascii="Arial" w:hAnsi="Arial" w:cs="Arial"/>
        </w:rPr>
      </w:pPr>
      <w:r>
        <w:rPr>
          <w:rStyle w:val="normaltextrun"/>
          <w:rFonts w:ascii="Arial" w:hAnsi="Arial" w:cs="Arial"/>
        </w:rPr>
        <w:t>C</w:t>
      </w:r>
      <w:r w:rsidR="003A2B93" w:rsidRPr="00EA10E5">
        <w:rPr>
          <w:rStyle w:val="normaltextrun"/>
          <w:rFonts w:ascii="Arial" w:hAnsi="Arial" w:cs="Arial"/>
        </w:rPr>
        <w:t>onsider a form of alternative dispute resolution to assist with settlement </w:t>
      </w:r>
      <w:r w:rsidR="003A2B93" w:rsidRPr="00EA10E5">
        <w:rPr>
          <w:rStyle w:val="eop"/>
          <w:rFonts w:ascii="Arial" w:hAnsi="Arial" w:cs="Arial"/>
        </w:rPr>
        <w:t> </w:t>
      </w:r>
    </w:p>
    <w:p w14:paraId="6C94B081" w14:textId="209560D9" w:rsidR="003A2B93" w:rsidRPr="00EA10E5" w:rsidRDefault="00F07502" w:rsidP="00633473">
      <w:pPr>
        <w:pStyle w:val="ListParagraph"/>
        <w:numPr>
          <w:ilvl w:val="0"/>
          <w:numId w:val="3"/>
        </w:numPr>
        <w:rPr>
          <w:rFonts w:ascii="Arial" w:hAnsi="Arial" w:cs="Arial"/>
        </w:rPr>
      </w:pPr>
      <w:r>
        <w:rPr>
          <w:rStyle w:val="normaltextrun"/>
          <w:rFonts w:ascii="Arial" w:hAnsi="Arial" w:cs="Arial"/>
        </w:rPr>
        <w:t>Su</w:t>
      </w:r>
      <w:r w:rsidR="003A2B93" w:rsidRPr="00EA10E5">
        <w:rPr>
          <w:rStyle w:val="normaltextrun"/>
          <w:rFonts w:ascii="Arial" w:hAnsi="Arial" w:cs="Arial"/>
        </w:rPr>
        <w:t>pport the efficient management of those proceedings</w:t>
      </w:r>
      <w:r w:rsidR="003A2B93" w:rsidRPr="00EA10E5">
        <w:rPr>
          <w:rStyle w:val="eop"/>
          <w:rFonts w:ascii="Arial" w:hAnsi="Arial" w:cs="Arial"/>
        </w:rPr>
        <w:t> </w:t>
      </w:r>
    </w:p>
    <w:p w14:paraId="1F442DFD" w14:textId="23083339" w:rsidR="003A2B93" w:rsidRPr="00EA10E5" w:rsidRDefault="00F07502" w:rsidP="00633473">
      <w:pPr>
        <w:pStyle w:val="ListParagraph"/>
        <w:numPr>
          <w:ilvl w:val="0"/>
          <w:numId w:val="3"/>
        </w:numPr>
        <w:rPr>
          <w:rFonts w:ascii="Arial" w:hAnsi="Arial" w:cs="Arial"/>
        </w:rPr>
      </w:pPr>
      <w:r>
        <w:rPr>
          <w:rStyle w:val="normaltextrun"/>
          <w:rFonts w:ascii="Arial" w:hAnsi="Arial" w:cs="Arial"/>
        </w:rPr>
        <w:t>Red</w:t>
      </w:r>
      <w:r w:rsidR="003A2B93" w:rsidRPr="00EA10E5">
        <w:rPr>
          <w:rStyle w:val="normaltextrun"/>
          <w:rFonts w:ascii="Arial" w:hAnsi="Arial" w:cs="Arial"/>
        </w:rPr>
        <w:t>uce the costs of resolving the dispute</w:t>
      </w:r>
      <w:r w:rsidR="003A2B93" w:rsidRPr="00EA10E5">
        <w:rPr>
          <w:rStyle w:val="eop"/>
          <w:rFonts w:ascii="Arial" w:hAnsi="Arial" w:cs="Arial"/>
        </w:rPr>
        <w:t> </w:t>
      </w:r>
    </w:p>
    <w:p w14:paraId="232949CD" w14:textId="294B8CFC" w:rsidR="000A55F2" w:rsidRDefault="004A2CC6" w:rsidP="00AE0760">
      <w:pPr>
        <w:pStyle w:val="StatutoryGuidanceMainText"/>
        <w:numPr>
          <w:ilvl w:val="1"/>
          <w:numId w:val="28"/>
        </w:numPr>
        <w:ind w:left="612" w:hanging="612"/>
      </w:pPr>
      <w:bookmarkStart w:id="85" w:name="_Toc109832503"/>
      <w:r>
        <w:t xml:space="preserve">The parties involved may be able to come to an agreement during the settlement </w:t>
      </w:r>
      <w:r w:rsidR="00A816F2">
        <w:t>discussions</w:t>
      </w:r>
      <w:r w:rsidR="00556401">
        <w:t>. F</w:t>
      </w:r>
      <w:r w:rsidR="008230E0">
        <w:t>or example,</w:t>
      </w:r>
      <w:r>
        <w:t xml:space="preserve"> the developer may agree to remediate</w:t>
      </w:r>
      <w:r w:rsidR="00A816F2">
        <w:t xml:space="preserve"> or </w:t>
      </w:r>
      <w:r>
        <w:t>pay for the remediation of the defect</w:t>
      </w:r>
      <w:r w:rsidR="000A55F2">
        <w:t xml:space="preserve">. </w:t>
      </w:r>
    </w:p>
    <w:p w14:paraId="77F478EA" w14:textId="446077A3" w:rsidR="00892748" w:rsidRDefault="27ED63E8" w:rsidP="00AE0760">
      <w:pPr>
        <w:pStyle w:val="StatutoryGuidanceMainText"/>
        <w:numPr>
          <w:ilvl w:val="1"/>
          <w:numId w:val="28"/>
        </w:numPr>
        <w:ind w:left="612" w:hanging="612"/>
      </w:pPr>
      <w:r>
        <w:t>If the parties involved do not agree to an out of court settlement</w:t>
      </w:r>
      <w:r w:rsidR="38820A73">
        <w:t>, litigation may be the next step. If litigation is being pursu</w:t>
      </w:r>
      <w:r w:rsidR="5A6936B8">
        <w:t xml:space="preserve">ed, </w:t>
      </w:r>
      <w:r>
        <w:t>the court will expect both parties to have complied with a relevant pre-action protocol and will consider any non-compliance when giving directions for the management of proceedings.</w:t>
      </w:r>
      <w:bookmarkEnd w:id="85"/>
      <w:r w:rsidR="016D2B6F">
        <w:t>  </w:t>
      </w:r>
    </w:p>
    <w:p w14:paraId="409FFC71" w14:textId="77777777" w:rsidR="007E26D1" w:rsidRPr="00EA10E5" w:rsidRDefault="007E26D1" w:rsidP="00863DA6">
      <w:pPr>
        <w:pStyle w:val="NoSpacing"/>
      </w:pPr>
    </w:p>
    <w:p w14:paraId="367D2902" w14:textId="20F1AC9E" w:rsidR="006D61D8" w:rsidRPr="00E70BC9" w:rsidRDefault="005D7048" w:rsidP="00633473">
      <w:pPr>
        <w:pStyle w:val="paragraph"/>
        <w:numPr>
          <w:ilvl w:val="0"/>
          <w:numId w:val="5"/>
        </w:numPr>
        <w:spacing w:before="0" w:beforeAutospacing="0" w:after="0" w:afterAutospacing="0"/>
        <w:textAlignment w:val="baseline"/>
        <w:rPr>
          <w:rFonts w:ascii="Arial" w:hAnsi="Arial" w:cs="Arial"/>
          <w:b/>
          <w:bCs/>
          <w:sz w:val="22"/>
          <w:szCs w:val="22"/>
        </w:rPr>
      </w:pPr>
      <w:r w:rsidRPr="00E70BC9">
        <w:rPr>
          <w:rStyle w:val="normaltextrun"/>
          <w:rFonts w:ascii="Arial" w:hAnsi="Arial" w:cs="Arial"/>
          <w:b/>
          <w:bCs/>
          <w:i/>
          <w:iCs/>
          <w:sz w:val="22"/>
          <w:szCs w:val="22"/>
        </w:rPr>
        <w:t xml:space="preserve">Factors for </w:t>
      </w:r>
      <w:r w:rsidR="00795EE2">
        <w:rPr>
          <w:rStyle w:val="normaltextrun"/>
          <w:rFonts w:ascii="Arial" w:hAnsi="Arial" w:cs="Arial"/>
          <w:b/>
          <w:bCs/>
          <w:i/>
          <w:iCs/>
          <w:sz w:val="22"/>
          <w:szCs w:val="22"/>
        </w:rPr>
        <w:t>l</w:t>
      </w:r>
      <w:r w:rsidRPr="00E70BC9">
        <w:rPr>
          <w:rStyle w:val="normaltextrun"/>
          <w:rFonts w:ascii="Arial" w:hAnsi="Arial" w:cs="Arial"/>
          <w:b/>
          <w:bCs/>
          <w:i/>
          <w:iCs/>
          <w:sz w:val="22"/>
          <w:szCs w:val="22"/>
        </w:rPr>
        <w:t xml:space="preserve">andlords to </w:t>
      </w:r>
      <w:r w:rsidR="00795EE2">
        <w:rPr>
          <w:rStyle w:val="normaltextrun"/>
          <w:rFonts w:ascii="Arial" w:hAnsi="Arial" w:cs="Arial"/>
          <w:b/>
          <w:bCs/>
          <w:i/>
          <w:iCs/>
          <w:sz w:val="22"/>
          <w:szCs w:val="22"/>
        </w:rPr>
        <w:t>c</w:t>
      </w:r>
      <w:r w:rsidRPr="00E70BC9">
        <w:rPr>
          <w:rStyle w:val="normaltextrun"/>
          <w:rFonts w:ascii="Arial" w:hAnsi="Arial" w:cs="Arial"/>
          <w:b/>
          <w:bCs/>
          <w:i/>
          <w:iCs/>
          <w:sz w:val="22"/>
          <w:szCs w:val="22"/>
        </w:rPr>
        <w:t>onsider</w:t>
      </w:r>
      <w:r w:rsidRPr="00E70BC9">
        <w:rPr>
          <w:rStyle w:val="eop"/>
          <w:rFonts w:ascii="Arial" w:hAnsi="Arial" w:cs="Arial"/>
          <w:b/>
          <w:bCs/>
          <w:i/>
          <w:iCs/>
          <w:sz w:val="22"/>
          <w:szCs w:val="22"/>
        </w:rPr>
        <w:t> </w:t>
      </w:r>
    </w:p>
    <w:p w14:paraId="61874BD1" w14:textId="77777777" w:rsidR="00260109" w:rsidRDefault="00260109" w:rsidP="00AE0760">
      <w:pPr>
        <w:pStyle w:val="StatutoryGuidanceMainText"/>
        <w:numPr>
          <w:ilvl w:val="1"/>
          <w:numId w:val="28"/>
        </w:numPr>
        <w:ind w:left="612" w:hanging="612"/>
      </w:pPr>
      <w:bookmarkStart w:id="86" w:name="_Toc109832506"/>
      <w:r>
        <w:t>The landlord should obtain i</w:t>
      </w:r>
      <w:r w:rsidRPr="00EA10E5">
        <w:t xml:space="preserve">ndependent legal advice </w:t>
      </w:r>
      <w:r>
        <w:t>to determine</w:t>
      </w:r>
      <w:r w:rsidRPr="00EA10E5">
        <w:t xml:space="preserve"> the </w:t>
      </w:r>
      <w:r>
        <w:t>likelihood</w:t>
      </w:r>
      <w:r w:rsidRPr="00EA10E5">
        <w:t xml:space="preserve"> of </w:t>
      </w:r>
      <w:r>
        <w:t xml:space="preserve">their bringing a </w:t>
      </w:r>
      <w:r w:rsidRPr="00EA10E5">
        <w:t>success</w:t>
      </w:r>
      <w:r>
        <w:t>ful claim</w:t>
      </w:r>
      <w:r w:rsidRPr="00EA10E5">
        <w:t xml:space="preserve">, the costs of pursuing </w:t>
      </w:r>
      <w:r>
        <w:t xml:space="preserve">such </w:t>
      </w:r>
      <w:r w:rsidRPr="00EA10E5">
        <w:t xml:space="preserve">a claim, and the risks involved. With this knowledge a landlord </w:t>
      </w:r>
      <w:r>
        <w:t>should</w:t>
      </w:r>
      <w:r w:rsidRPr="00EA10E5">
        <w:t xml:space="preserve"> consider whether they wish to pursue a claim</w:t>
      </w:r>
      <w:r>
        <w:t xml:space="preserve"> </w:t>
      </w:r>
      <w:r w:rsidRPr="00EA10E5">
        <w:t>or not. </w:t>
      </w:r>
    </w:p>
    <w:p w14:paraId="0C76ABDD" w14:textId="4AD0245B" w:rsidR="005D7048" w:rsidRPr="00EA10E5" w:rsidRDefault="005D7048" w:rsidP="00AE0760">
      <w:pPr>
        <w:pStyle w:val="StatutoryGuidanceMainText"/>
        <w:numPr>
          <w:ilvl w:val="1"/>
          <w:numId w:val="28"/>
        </w:numPr>
        <w:ind w:left="612" w:hanging="612"/>
      </w:pPr>
      <w:r w:rsidRPr="00EA10E5">
        <w:t>The landlord may wish to consider the following factors before deciding to pursue a cause of action:</w:t>
      </w:r>
      <w:bookmarkEnd w:id="86"/>
      <w:r w:rsidRPr="00EA10E5">
        <w:t> </w:t>
      </w:r>
    </w:p>
    <w:p w14:paraId="3FABE4CF" w14:textId="159BE9A1" w:rsidR="005D7048" w:rsidRPr="00EA10E5" w:rsidRDefault="005D7048" w:rsidP="00633473">
      <w:pPr>
        <w:pStyle w:val="ListParagraph"/>
        <w:numPr>
          <w:ilvl w:val="0"/>
          <w:numId w:val="2"/>
        </w:numPr>
        <w:rPr>
          <w:rFonts w:ascii="Arial" w:hAnsi="Arial" w:cs="Arial"/>
        </w:rPr>
      </w:pPr>
      <w:r w:rsidRPr="005F0D8D">
        <w:rPr>
          <w:rFonts w:ascii="Arial" w:hAnsi="Arial" w:cs="Arial"/>
          <w:u w:val="single"/>
        </w:rPr>
        <w:t>Likelihood of success</w:t>
      </w:r>
      <w:r w:rsidR="005F0D8D" w:rsidRPr="005F0D8D">
        <w:rPr>
          <w:rFonts w:ascii="Arial" w:hAnsi="Arial" w:cs="Arial"/>
          <w:u w:val="single"/>
        </w:rPr>
        <w:t>:</w:t>
      </w:r>
      <w:r w:rsidR="005F0D8D">
        <w:rPr>
          <w:rFonts w:ascii="Arial" w:hAnsi="Arial" w:cs="Arial"/>
        </w:rPr>
        <w:t xml:space="preserve"> t</w:t>
      </w:r>
      <w:r w:rsidRPr="00EA10E5">
        <w:rPr>
          <w:rFonts w:ascii="Arial" w:hAnsi="Arial" w:cs="Arial"/>
        </w:rPr>
        <w:t xml:space="preserve">he pursuit of remediation through litigation includes an inherent degree of risk. This risk </w:t>
      </w:r>
      <w:r w:rsidR="00654A6D">
        <w:rPr>
          <w:rFonts w:ascii="Arial" w:hAnsi="Arial" w:cs="Arial"/>
        </w:rPr>
        <w:t>should</w:t>
      </w:r>
      <w:r w:rsidRPr="00EA10E5">
        <w:rPr>
          <w:rFonts w:ascii="Arial" w:hAnsi="Arial" w:cs="Arial"/>
        </w:rPr>
        <w:t xml:space="preserve"> be assessed by legal advisors and carefully considered by the landlord before proceeding. </w:t>
      </w:r>
    </w:p>
    <w:p w14:paraId="4075BF24" w14:textId="730BC520" w:rsidR="005D7048" w:rsidRPr="00EA10E5" w:rsidRDefault="005D7048" w:rsidP="00633473">
      <w:pPr>
        <w:pStyle w:val="ListParagraph"/>
        <w:numPr>
          <w:ilvl w:val="0"/>
          <w:numId w:val="2"/>
        </w:numPr>
        <w:rPr>
          <w:rFonts w:ascii="Arial" w:hAnsi="Arial" w:cs="Arial"/>
        </w:rPr>
      </w:pPr>
      <w:r w:rsidRPr="005F0D8D">
        <w:rPr>
          <w:rFonts w:ascii="Arial" w:hAnsi="Arial" w:cs="Arial"/>
          <w:u w:val="single"/>
        </w:rPr>
        <w:t>Timing</w:t>
      </w:r>
      <w:r w:rsidR="005F0D8D" w:rsidRPr="005F0D8D">
        <w:rPr>
          <w:rFonts w:ascii="Arial" w:hAnsi="Arial" w:cs="Arial"/>
          <w:u w:val="single"/>
        </w:rPr>
        <w:t>:</w:t>
      </w:r>
      <w:r w:rsidR="005F0D8D">
        <w:rPr>
          <w:rFonts w:ascii="Arial" w:hAnsi="Arial" w:cs="Arial"/>
        </w:rPr>
        <w:t xml:space="preserve"> t</w:t>
      </w:r>
      <w:r w:rsidRPr="00EA10E5">
        <w:rPr>
          <w:rFonts w:ascii="Arial" w:hAnsi="Arial" w:cs="Arial"/>
        </w:rPr>
        <w:t xml:space="preserve">he landlord </w:t>
      </w:r>
      <w:r w:rsidR="000131D1">
        <w:rPr>
          <w:rFonts w:ascii="Arial" w:hAnsi="Arial" w:cs="Arial"/>
        </w:rPr>
        <w:t>should</w:t>
      </w:r>
      <w:r w:rsidR="000131D1" w:rsidRPr="00EA10E5">
        <w:rPr>
          <w:rFonts w:ascii="Arial" w:hAnsi="Arial" w:cs="Arial"/>
        </w:rPr>
        <w:t xml:space="preserve"> </w:t>
      </w:r>
      <w:r w:rsidRPr="00EA10E5">
        <w:rPr>
          <w:rFonts w:ascii="Arial" w:hAnsi="Arial" w:cs="Arial"/>
        </w:rPr>
        <w:t>consider the length of time to pursue the process of litigation versus the pace of remediation and ongoing costs to leaseholders. </w:t>
      </w:r>
    </w:p>
    <w:p w14:paraId="00329376" w14:textId="023E6A03" w:rsidR="005D7048" w:rsidRDefault="005D7048" w:rsidP="00633473">
      <w:pPr>
        <w:pStyle w:val="ListParagraph"/>
        <w:numPr>
          <w:ilvl w:val="0"/>
          <w:numId w:val="2"/>
        </w:numPr>
        <w:rPr>
          <w:rFonts w:ascii="Arial" w:hAnsi="Arial" w:cs="Arial"/>
        </w:rPr>
      </w:pPr>
      <w:r w:rsidRPr="005F0D8D">
        <w:rPr>
          <w:rFonts w:ascii="Arial" w:hAnsi="Arial" w:cs="Arial"/>
          <w:u w:val="single"/>
        </w:rPr>
        <w:t>Cost</w:t>
      </w:r>
      <w:r w:rsidR="005F0D8D" w:rsidRPr="005F0D8D">
        <w:rPr>
          <w:rFonts w:ascii="Arial" w:hAnsi="Arial" w:cs="Arial"/>
          <w:u w:val="single"/>
        </w:rPr>
        <w:t>:</w:t>
      </w:r>
      <w:r w:rsidRPr="00EA10E5">
        <w:rPr>
          <w:rFonts w:ascii="Arial" w:hAnsi="Arial" w:cs="Arial"/>
        </w:rPr>
        <w:t xml:space="preserve"> </w:t>
      </w:r>
      <w:r w:rsidR="005F0D8D">
        <w:rPr>
          <w:rFonts w:ascii="Arial" w:hAnsi="Arial" w:cs="Arial"/>
        </w:rPr>
        <w:t>i</w:t>
      </w:r>
      <w:r w:rsidRPr="00EA10E5">
        <w:rPr>
          <w:rFonts w:ascii="Arial" w:hAnsi="Arial" w:cs="Arial"/>
        </w:rPr>
        <w:t>f the cost of pursuing litigation</w:t>
      </w:r>
      <w:r w:rsidR="009856E0">
        <w:rPr>
          <w:rFonts w:ascii="Arial" w:hAnsi="Arial" w:cs="Arial"/>
        </w:rPr>
        <w:t xml:space="preserve"> </w:t>
      </w:r>
      <w:r w:rsidR="0054758A">
        <w:rPr>
          <w:rFonts w:ascii="Arial" w:hAnsi="Arial" w:cs="Arial"/>
        </w:rPr>
        <w:t>is</w:t>
      </w:r>
      <w:r w:rsidR="009856E0">
        <w:rPr>
          <w:rFonts w:ascii="Arial" w:hAnsi="Arial" w:cs="Arial"/>
        </w:rPr>
        <w:t xml:space="preserve"> likely to be disproportionate to the </w:t>
      </w:r>
      <w:r w:rsidR="00136A16" w:rsidRPr="00EA10E5">
        <w:rPr>
          <w:rFonts w:ascii="Arial" w:hAnsi="Arial" w:cs="Arial"/>
        </w:rPr>
        <w:t>s</w:t>
      </w:r>
      <w:r w:rsidRPr="00EA10E5">
        <w:rPr>
          <w:rFonts w:ascii="Arial" w:hAnsi="Arial" w:cs="Arial"/>
        </w:rPr>
        <w:t xml:space="preserve">um required to remediate the building’s defects, </w:t>
      </w:r>
      <w:r w:rsidR="005F0D8D">
        <w:rPr>
          <w:rFonts w:ascii="Arial" w:hAnsi="Arial" w:cs="Arial"/>
        </w:rPr>
        <w:t xml:space="preserve">it </w:t>
      </w:r>
      <w:r w:rsidR="008B2570">
        <w:rPr>
          <w:rFonts w:ascii="Arial" w:hAnsi="Arial" w:cs="Arial"/>
        </w:rPr>
        <w:t>would be</w:t>
      </w:r>
      <w:r w:rsidR="005F0D8D">
        <w:rPr>
          <w:rFonts w:ascii="Arial" w:hAnsi="Arial" w:cs="Arial"/>
        </w:rPr>
        <w:t xml:space="preserve"> unreasonable to expect the landlord to </w:t>
      </w:r>
      <w:r w:rsidR="008B2570">
        <w:rPr>
          <w:rFonts w:ascii="Arial" w:hAnsi="Arial" w:cs="Arial"/>
        </w:rPr>
        <w:t xml:space="preserve">pursue such an avenue and would </w:t>
      </w:r>
      <w:r w:rsidRPr="00EA10E5">
        <w:rPr>
          <w:rFonts w:ascii="Arial" w:hAnsi="Arial" w:cs="Arial"/>
        </w:rPr>
        <w:t>place further potential burden on</w:t>
      </w:r>
      <w:r w:rsidR="008C2CA3">
        <w:rPr>
          <w:rFonts w:ascii="Arial" w:hAnsi="Arial" w:cs="Arial"/>
        </w:rPr>
        <w:t xml:space="preserve"> the</w:t>
      </w:r>
      <w:r w:rsidRPr="00EA10E5">
        <w:rPr>
          <w:rFonts w:ascii="Arial" w:hAnsi="Arial" w:cs="Arial"/>
        </w:rPr>
        <w:t xml:space="preserve"> landlord if the claim is unsuccessful. </w:t>
      </w:r>
      <w:r w:rsidR="008B27EF" w:rsidRPr="00EA10E5">
        <w:rPr>
          <w:rFonts w:ascii="Arial" w:hAnsi="Arial" w:cs="Arial"/>
        </w:rPr>
        <w:t xml:space="preserve"> </w:t>
      </w:r>
    </w:p>
    <w:p w14:paraId="03C55340" w14:textId="550E02AC" w:rsidR="009C12C6" w:rsidRDefault="009C12C6" w:rsidP="00AE0760">
      <w:pPr>
        <w:pStyle w:val="StatutoryGuidanceMainText"/>
        <w:numPr>
          <w:ilvl w:val="1"/>
          <w:numId w:val="28"/>
        </w:numPr>
        <w:ind w:left="612" w:hanging="612"/>
      </w:pPr>
      <w:r>
        <w:t xml:space="preserve">A </w:t>
      </w:r>
      <w:r w:rsidRPr="00EA10E5">
        <w:t>landlord</w:t>
      </w:r>
      <w:r>
        <w:t xml:space="preserve"> may decide not to pursue litigation if they have received strong legal advice against it</w:t>
      </w:r>
      <w:r w:rsidR="00F823F8">
        <w:t xml:space="preserve"> </w:t>
      </w:r>
      <w:r w:rsidR="00F823F8" w:rsidRPr="00936081">
        <w:rPr>
          <w:rFonts w:eastAsiaTheme="minorEastAsia"/>
        </w:rPr>
        <w:t>(for example, if their legal team has confirmed that they would be unable to litigate due to onerous anticipated costs).</w:t>
      </w:r>
    </w:p>
    <w:p w14:paraId="010EED1D" w14:textId="0ED66095" w:rsidR="003B2557" w:rsidRDefault="226BC4D4" w:rsidP="00AE0760">
      <w:pPr>
        <w:pStyle w:val="StatutoryGuidanceMainText"/>
        <w:numPr>
          <w:ilvl w:val="1"/>
          <w:numId w:val="28"/>
        </w:numPr>
        <w:ind w:left="612" w:hanging="612"/>
        <w:rPr>
          <w:rStyle w:val="eop"/>
        </w:rPr>
      </w:pPr>
      <w:bookmarkStart w:id="87" w:name="_Toc109832507"/>
      <w:r>
        <w:t>If the</w:t>
      </w:r>
      <w:r w:rsidR="0CD40DE7">
        <w:t xml:space="preserve"> landlord reasonably deci</w:t>
      </w:r>
      <w:r>
        <w:t>d</w:t>
      </w:r>
      <w:r w:rsidR="0CD40DE7">
        <w:t>e</w:t>
      </w:r>
      <w:r>
        <w:t>s</w:t>
      </w:r>
      <w:r w:rsidR="0CD40DE7">
        <w:t xml:space="preserve"> not to pursue litigation having considered the timescales, merits, and costs</w:t>
      </w:r>
      <w:r w:rsidR="6C8BBC09">
        <w:t xml:space="preserve">, the landlord </w:t>
      </w:r>
      <w:r w:rsidR="000131D1">
        <w:t>should</w:t>
      </w:r>
      <w:r w:rsidR="6C8BBC09">
        <w:t xml:space="preserve"> consider other cost recovery routes in accordance with </w:t>
      </w:r>
      <w:r w:rsidR="1CF83272">
        <w:t>new</w:t>
      </w:r>
      <w:r w:rsidR="1CF83272" w:rsidRPr="5EC48187">
        <w:rPr>
          <w:rStyle w:val="normaltextrun"/>
        </w:rPr>
        <w:t xml:space="preserve"> section </w:t>
      </w:r>
      <w:r w:rsidR="1CF83272">
        <w:t>2</w:t>
      </w:r>
      <w:r w:rsidR="1CF83272" w:rsidRPr="5EC48187">
        <w:rPr>
          <w:rStyle w:val="normaltextrun"/>
        </w:rPr>
        <w:t>0D</w:t>
      </w:r>
      <w:r w:rsidR="1CF83272">
        <w:t xml:space="preserve">(3)(c) </w:t>
      </w:r>
      <w:r w:rsidR="004E5BF1">
        <w:t>of the</w:t>
      </w:r>
      <w:r w:rsidR="1CF83272" w:rsidRPr="5EC48187">
        <w:rPr>
          <w:rStyle w:val="eop"/>
        </w:rPr>
        <w:t xml:space="preserve"> Landlord and Tenant Act </w:t>
      </w:r>
      <w:r w:rsidR="150FE681">
        <w:t>1</w:t>
      </w:r>
      <w:r w:rsidR="1CF83272" w:rsidRPr="5EC48187">
        <w:rPr>
          <w:rStyle w:val="eop"/>
        </w:rPr>
        <w:t xml:space="preserve">985. </w:t>
      </w:r>
    </w:p>
    <w:bookmarkEnd w:id="87"/>
    <w:p w14:paraId="39E259B1" w14:textId="239CB840" w:rsidR="005D7048" w:rsidRPr="00E70BC9" w:rsidRDefault="003623A1" w:rsidP="00994975">
      <w:pPr>
        <w:pStyle w:val="paragraph"/>
        <w:spacing w:before="0" w:beforeAutospacing="0" w:after="0" w:afterAutospacing="0"/>
        <w:textAlignment w:val="baseline"/>
        <w:rPr>
          <w:rStyle w:val="eop"/>
          <w:rFonts w:ascii="Arial" w:hAnsi="Arial" w:cs="Arial"/>
          <w:b/>
          <w:bCs/>
          <w:i/>
          <w:sz w:val="22"/>
          <w:szCs w:val="22"/>
        </w:rPr>
      </w:pPr>
      <w:r>
        <w:rPr>
          <w:rStyle w:val="normaltextrun"/>
          <w:rFonts w:ascii="Arial" w:hAnsi="Arial" w:cs="Arial"/>
          <w:b/>
          <w:bCs/>
          <w:i/>
          <w:sz w:val="22"/>
          <w:szCs w:val="22"/>
        </w:rPr>
        <w:lastRenderedPageBreak/>
        <w:t>d) U</w:t>
      </w:r>
      <w:r w:rsidR="005D7048" w:rsidRPr="00E70BC9">
        <w:rPr>
          <w:rStyle w:val="normaltextrun"/>
          <w:rFonts w:ascii="Arial" w:hAnsi="Arial" w:cs="Arial"/>
          <w:b/>
          <w:bCs/>
          <w:i/>
          <w:sz w:val="22"/>
          <w:szCs w:val="22"/>
        </w:rPr>
        <w:t xml:space="preserve">nsuccessful </w:t>
      </w:r>
      <w:r w:rsidR="00795EE2">
        <w:rPr>
          <w:rStyle w:val="normaltextrun"/>
          <w:rFonts w:ascii="Arial" w:hAnsi="Arial" w:cs="Arial"/>
          <w:b/>
          <w:bCs/>
          <w:i/>
          <w:sz w:val="22"/>
          <w:szCs w:val="22"/>
        </w:rPr>
        <w:t>o</w:t>
      </w:r>
      <w:r w:rsidR="005D7048" w:rsidRPr="00E70BC9">
        <w:rPr>
          <w:rStyle w:val="normaltextrun"/>
          <w:rFonts w:ascii="Arial" w:hAnsi="Arial" w:cs="Arial"/>
          <w:b/>
          <w:bCs/>
          <w:i/>
          <w:sz w:val="22"/>
          <w:szCs w:val="22"/>
        </w:rPr>
        <w:t xml:space="preserve">utcome of </w:t>
      </w:r>
      <w:r w:rsidR="00795EE2">
        <w:rPr>
          <w:rStyle w:val="normaltextrun"/>
          <w:rFonts w:ascii="Arial" w:hAnsi="Arial" w:cs="Arial"/>
          <w:b/>
          <w:bCs/>
          <w:i/>
          <w:sz w:val="22"/>
          <w:szCs w:val="22"/>
        </w:rPr>
        <w:t>l</w:t>
      </w:r>
      <w:r w:rsidR="005D7048" w:rsidRPr="00E70BC9">
        <w:rPr>
          <w:rStyle w:val="normaltextrun"/>
          <w:rFonts w:ascii="Arial" w:hAnsi="Arial" w:cs="Arial"/>
          <w:b/>
          <w:bCs/>
          <w:i/>
          <w:sz w:val="22"/>
          <w:szCs w:val="22"/>
        </w:rPr>
        <w:t>itigation</w:t>
      </w:r>
      <w:r w:rsidR="005D7048" w:rsidRPr="00E70BC9">
        <w:rPr>
          <w:rStyle w:val="eop"/>
          <w:rFonts w:ascii="Arial" w:hAnsi="Arial" w:cs="Arial"/>
          <w:b/>
          <w:bCs/>
          <w:i/>
          <w:sz w:val="22"/>
          <w:szCs w:val="22"/>
        </w:rPr>
        <w:t> </w:t>
      </w:r>
    </w:p>
    <w:p w14:paraId="1E119943" w14:textId="64C04035" w:rsidR="009A10FE" w:rsidRPr="00EA10E5" w:rsidRDefault="005D7048" w:rsidP="00AE0760">
      <w:pPr>
        <w:pStyle w:val="StatutoryGuidanceMainText"/>
        <w:numPr>
          <w:ilvl w:val="1"/>
          <w:numId w:val="28"/>
        </w:numPr>
        <w:ind w:left="612" w:hanging="612"/>
      </w:pPr>
      <w:bookmarkStart w:id="88" w:name="_Toc109832508"/>
      <w:r w:rsidRPr="00EA10E5">
        <w:t>If the outcome of litigation is unsuccessful</w:t>
      </w:r>
      <w:r w:rsidR="176C4B61" w:rsidRPr="00EA10E5">
        <w:t xml:space="preserve"> and</w:t>
      </w:r>
      <w:r w:rsidRPr="00EA10E5">
        <w:t xml:space="preserve"> the landlord </w:t>
      </w:r>
      <w:r w:rsidR="176C4B61" w:rsidRPr="00EA10E5">
        <w:t xml:space="preserve">wishes to make an appeal, the landlord </w:t>
      </w:r>
      <w:r w:rsidR="000131D1">
        <w:t>should</w:t>
      </w:r>
      <w:r w:rsidR="000131D1" w:rsidRPr="00EA10E5">
        <w:t xml:space="preserve"> </w:t>
      </w:r>
      <w:r w:rsidRPr="00EA10E5">
        <w:t>take immediate legal advice on whether the judgment can be appealed and the chances of such an appeal succeeding</w:t>
      </w:r>
      <w:r w:rsidR="00F97899">
        <w:t>,</w:t>
      </w:r>
      <w:r w:rsidRPr="00EA10E5">
        <w:t xml:space="preserve"> so that time limits for seeking leave to appeal are not missed.</w:t>
      </w:r>
      <w:bookmarkEnd w:id="88"/>
      <w:r w:rsidRPr="00EA10E5">
        <w:t xml:space="preserve"> </w:t>
      </w:r>
    </w:p>
    <w:p w14:paraId="46A550E5" w14:textId="755DED5A" w:rsidR="005D7048" w:rsidRPr="00EA10E5" w:rsidRDefault="00C50129" w:rsidP="00AE0760">
      <w:pPr>
        <w:pStyle w:val="StatutoryGuidanceMainText"/>
        <w:numPr>
          <w:ilvl w:val="1"/>
          <w:numId w:val="28"/>
        </w:numPr>
        <w:ind w:left="612" w:hanging="612"/>
      </w:pPr>
      <w:bookmarkStart w:id="89" w:name="_Toc109832509"/>
      <w:r>
        <w:t>If the landlord</w:t>
      </w:r>
      <w:r w:rsidR="00992A9E">
        <w:t xml:space="preserve"> does </w:t>
      </w:r>
      <w:r w:rsidR="005D7048">
        <w:t>not pursu</w:t>
      </w:r>
      <w:r w:rsidR="00992A9E">
        <w:t>e</w:t>
      </w:r>
      <w:r w:rsidR="005D7048">
        <w:t xml:space="preserve"> an appeal</w:t>
      </w:r>
      <w:r w:rsidR="00BD1B48">
        <w:t>, this</w:t>
      </w:r>
      <w:r w:rsidR="005D7048">
        <w:t xml:space="preserve"> does not</w:t>
      </w:r>
      <w:r w:rsidR="006476D2">
        <w:t xml:space="preserve"> necessarily</w:t>
      </w:r>
      <w:r w:rsidR="005D7048">
        <w:t xml:space="preserve"> constitute failure to take a reasonable step.</w:t>
      </w:r>
      <w:bookmarkEnd w:id="89"/>
      <w:r w:rsidR="0054266A">
        <w:t xml:space="preserve"> However, in instances where the landlord has good reason to </w:t>
      </w:r>
      <w:r w:rsidR="000F6C62">
        <w:t>appeal</w:t>
      </w:r>
      <w:r>
        <w:t xml:space="preserve"> </w:t>
      </w:r>
      <w:r w:rsidR="00FA09F5">
        <w:t xml:space="preserve">(for example, strong legal advice that they </w:t>
      </w:r>
      <w:r w:rsidR="00164241">
        <w:t xml:space="preserve">could recoup </w:t>
      </w:r>
      <w:r w:rsidR="007407F7">
        <w:t xml:space="preserve">costs), not appealing </w:t>
      </w:r>
      <w:r w:rsidR="00623ABD">
        <w:t xml:space="preserve">may well </w:t>
      </w:r>
      <w:r w:rsidR="007407F7">
        <w:t>be unreasonable</w:t>
      </w:r>
      <w:r w:rsidR="00623ABD">
        <w:t>.</w:t>
      </w:r>
    </w:p>
    <w:p w14:paraId="4F1D4658" w14:textId="314102FE" w:rsidR="005D7048" w:rsidRPr="004E0E51" w:rsidRDefault="005D7048" w:rsidP="00AE0760">
      <w:pPr>
        <w:pStyle w:val="StatutoryGuidanceMainText"/>
        <w:numPr>
          <w:ilvl w:val="1"/>
          <w:numId w:val="28"/>
        </w:numPr>
        <w:ind w:left="612" w:hanging="612"/>
      </w:pPr>
      <w:bookmarkStart w:id="90" w:name="_Toc109832510"/>
      <w:r w:rsidRPr="004E0E51">
        <w:t xml:space="preserve">If a settlement is not reached, the landlord </w:t>
      </w:r>
      <w:r w:rsidR="000131D1" w:rsidRPr="004E0E51">
        <w:t xml:space="preserve">should </w:t>
      </w:r>
      <w:r w:rsidRPr="004E0E51">
        <w:t xml:space="preserve">consider other cost recovery routes in accordance with </w:t>
      </w:r>
      <w:r w:rsidR="002F10FC" w:rsidRPr="004E0E51">
        <w:t>new section 2</w:t>
      </w:r>
      <w:r w:rsidR="002F10FC" w:rsidRPr="004E0E51">
        <w:rPr>
          <w:rStyle w:val="normaltextrun"/>
        </w:rPr>
        <w:t>0D</w:t>
      </w:r>
      <w:r w:rsidR="002F10FC" w:rsidRPr="004E0E51">
        <w:t>(3)(c)</w:t>
      </w:r>
      <w:r w:rsidR="002F10FC" w:rsidRPr="004E0E51">
        <w:rPr>
          <w:rStyle w:val="eop"/>
        </w:rPr>
        <w:t xml:space="preserve"> Landlord and Tenant Act </w:t>
      </w:r>
      <w:r w:rsidR="002F10FC" w:rsidRPr="004E0E51">
        <w:t>1</w:t>
      </w:r>
      <w:r w:rsidR="002F10FC" w:rsidRPr="004E0E51">
        <w:rPr>
          <w:rStyle w:val="eop"/>
        </w:rPr>
        <w:t>9</w:t>
      </w:r>
      <w:r w:rsidR="002F10FC" w:rsidRPr="004E0E51">
        <w:t>8</w:t>
      </w:r>
      <w:r w:rsidR="002F10FC" w:rsidRPr="004E0E51">
        <w:rPr>
          <w:rStyle w:val="eop"/>
        </w:rPr>
        <w:t>5</w:t>
      </w:r>
      <w:r w:rsidR="00D57282" w:rsidRPr="004E0E51">
        <w:rPr>
          <w:rStyle w:val="eop"/>
        </w:rPr>
        <w:t>. They</w:t>
      </w:r>
      <w:r w:rsidR="00D57282" w:rsidRPr="004E0E51">
        <w:t xml:space="preserve"> should</w:t>
      </w:r>
      <w:r w:rsidRPr="004E0E51">
        <w:t xml:space="preserve"> determine whether they would be eligible to receive </w:t>
      </w:r>
      <w:r w:rsidR="176C4B61" w:rsidRPr="004E0E51">
        <w:t>funding through</w:t>
      </w:r>
      <w:r w:rsidRPr="004E0E51">
        <w:t xml:space="preserve"> an appropriate </w:t>
      </w:r>
      <w:r w:rsidR="000131D1" w:rsidRPr="004E0E51">
        <w:t>g</w:t>
      </w:r>
      <w:r w:rsidRPr="004E0E51">
        <w:t>overnment scheme.</w:t>
      </w:r>
      <w:bookmarkEnd w:id="90"/>
      <w:r w:rsidR="000131D1" w:rsidRPr="004E0E51">
        <w:t xml:space="preserve"> More information on</w:t>
      </w:r>
      <w:r w:rsidR="00ED7FAB" w:rsidRPr="004E0E51">
        <w:t xml:space="preserve"> exploring</w:t>
      </w:r>
      <w:r w:rsidR="000131D1" w:rsidRPr="004E0E51">
        <w:t xml:space="preserve"> government grants and funding can be found in section 1</w:t>
      </w:r>
      <w:r w:rsidR="009A267B" w:rsidRPr="004E0E51">
        <w:t>2</w:t>
      </w:r>
      <w:r w:rsidR="000131D1" w:rsidRPr="004E0E51">
        <w:t xml:space="preserve"> of this guidance.</w:t>
      </w:r>
      <w:r w:rsidRPr="004E0E51">
        <w:t>   </w:t>
      </w:r>
    </w:p>
    <w:p w14:paraId="7C89C412" w14:textId="50A414DB" w:rsidR="002E394A" w:rsidRDefault="002E394A" w:rsidP="00863DA6">
      <w:pPr>
        <w:pStyle w:val="NoSpacing"/>
      </w:pPr>
    </w:p>
    <w:p w14:paraId="1B0AFDE0" w14:textId="6503B678" w:rsidR="005D7048" w:rsidRPr="00ED4020" w:rsidRDefault="00703B45" w:rsidP="00724915">
      <w:pPr>
        <w:pStyle w:val="Heading2"/>
        <w:numPr>
          <w:ilvl w:val="0"/>
          <w:numId w:val="0"/>
        </w:numPr>
        <w:ind w:left="754" w:hanging="612"/>
        <w:rPr>
          <w:rStyle w:val="eop"/>
          <w:rFonts w:cs="Arial"/>
        </w:rPr>
      </w:pPr>
      <w:bookmarkStart w:id="91" w:name="_Toc115948290"/>
      <w:bookmarkStart w:id="92" w:name="_Toc109832511"/>
      <w:r w:rsidRPr="015BE446">
        <w:rPr>
          <w:rStyle w:val="normaltextrun"/>
          <w:rFonts w:cs="Arial"/>
        </w:rPr>
        <w:t>1</w:t>
      </w:r>
      <w:r w:rsidR="00AE0760">
        <w:rPr>
          <w:rStyle w:val="normaltextrun"/>
          <w:rFonts w:cs="Arial"/>
        </w:rPr>
        <w:t>2</w:t>
      </w:r>
      <w:r w:rsidRPr="015BE446">
        <w:rPr>
          <w:rStyle w:val="normaltextrun"/>
          <w:rFonts w:cs="Arial"/>
        </w:rPr>
        <w:t xml:space="preserve">. </w:t>
      </w:r>
      <w:r w:rsidR="479C91A7" w:rsidRPr="015BE446">
        <w:rPr>
          <w:rStyle w:val="normaltextrun"/>
          <w:rFonts w:cs="Arial"/>
        </w:rPr>
        <w:t>G</w:t>
      </w:r>
      <w:r w:rsidR="4663D85E" w:rsidRPr="015BE446">
        <w:rPr>
          <w:rStyle w:val="normaltextrun"/>
          <w:rFonts w:cs="Arial"/>
        </w:rPr>
        <w:t xml:space="preserve">overnment </w:t>
      </w:r>
      <w:r w:rsidR="00795EE2" w:rsidRPr="015BE446">
        <w:rPr>
          <w:rStyle w:val="normaltextrun"/>
          <w:rFonts w:cs="Arial"/>
        </w:rPr>
        <w:t>g</w:t>
      </w:r>
      <w:r w:rsidR="4663D85E" w:rsidRPr="015BE446">
        <w:rPr>
          <w:rStyle w:val="normaltextrun"/>
          <w:rFonts w:cs="Arial"/>
        </w:rPr>
        <w:t>rants</w:t>
      </w:r>
      <w:r w:rsidR="680CC8D0" w:rsidRPr="015BE446">
        <w:rPr>
          <w:rStyle w:val="normaltextrun"/>
          <w:rFonts w:cs="Arial"/>
        </w:rPr>
        <w:t xml:space="preserve"> and </w:t>
      </w:r>
      <w:r w:rsidR="00795EE2" w:rsidRPr="015BE446">
        <w:rPr>
          <w:rStyle w:val="normaltextrun"/>
          <w:rFonts w:cs="Arial"/>
        </w:rPr>
        <w:t>f</w:t>
      </w:r>
      <w:r w:rsidR="680CC8D0" w:rsidRPr="015BE446">
        <w:rPr>
          <w:rStyle w:val="normaltextrun"/>
          <w:rFonts w:cs="Arial"/>
        </w:rPr>
        <w:t>unding</w:t>
      </w:r>
      <w:bookmarkEnd w:id="91"/>
      <w:r w:rsidR="4663D85E" w:rsidRPr="015BE446">
        <w:rPr>
          <w:rStyle w:val="normaltextrun"/>
          <w:rFonts w:cs="Arial"/>
        </w:rPr>
        <w:t> </w:t>
      </w:r>
      <w:r w:rsidR="4663D85E" w:rsidRPr="015BE446">
        <w:rPr>
          <w:rStyle w:val="eop"/>
          <w:rFonts w:cs="Arial"/>
        </w:rPr>
        <w:t> </w:t>
      </w:r>
      <w:bookmarkEnd w:id="92"/>
    </w:p>
    <w:p w14:paraId="5F4153DC" w14:textId="62FEB4D0" w:rsidR="00D14EAC" w:rsidRPr="00FC18B5" w:rsidRDefault="00FC18B5" w:rsidP="00AE0760">
      <w:pPr>
        <w:pStyle w:val="StatutoryGuidanceMainText"/>
        <w:numPr>
          <w:ilvl w:val="1"/>
          <w:numId w:val="29"/>
        </w:numPr>
        <w:ind w:left="612" w:hanging="612"/>
      </w:pPr>
      <w:bookmarkStart w:id="93" w:name="_Toc109832512"/>
      <w:r w:rsidRPr="00FC18B5">
        <w:t>In accordance with new section 20</w:t>
      </w:r>
      <w:proofErr w:type="gramStart"/>
      <w:r w:rsidRPr="00FC18B5">
        <w:t>D(</w:t>
      </w:r>
      <w:proofErr w:type="gramEnd"/>
      <w:r w:rsidRPr="00FC18B5">
        <w:t>8) Landlord and Tenant Act 1985, the landlord is not required to pursue alternative cost recovery avenues before carrying out remediation works. The expectation is that landlords will commence remediation works even if the monies are not guaranteed from alternative cost recovery avenues.</w:t>
      </w:r>
    </w:p>
    <w:p w14:paraId="13843A98" w14:textId="15896E1B" w:rsidR="00D14EAC" w:rsidRPr="00EA10E5" w:rsidRDefault="00D14EAC" w:rsidP="00AE0760">
      <w:pPr>
        <w:pStyle w:val="StatutoryGuidanceMainText"/>
        <w:numPr>
          <w:ilvl w:val="1"/>
          <w:numId w:val="29"/>
        </w:numPr>
        <w:ind w:left="612" w:hanging="612"/>
      </w:pPr>
      <w:bookmarkStart w:id="94" w:name="_Toc109832513"/>
      <w:bookmarkEnd w:id="93"/>
      <w:r>
        <w:t xml:space="preserve">If the landlord has not achieved full cost recovery through insurance, </w:t>
      </w:r>
      <w:proofErr w:type="gramStart"/>
      <w:r>
        <w:t>warranty</w:t>
      </w:r>
      <w:proofErr w:type="gramEnd"/>
      <w:r>
        <w:t xml:space="preserve"> or litigation, the</w:t>
      </w:r>
      <w:r w:rsidR="00F75C14">
        <w:t>y</w:t>
      </w:r>
      <w:r w:rsidDel="00F75C14">
        <w:t xml:space="preserve"> </w:t>
      </w:r>
      <w:r>
        <w:t>should determine whether they would be eligible to receive funding through an appropriate government scheme. </w:t>
      </w:r>
    </w:p>
    <w:p w14:paraId="5512FAC6" w14:textId="21397729" w:rsidR="00E05FDE" w:rsidRPr="000435C4" w:rsidRDefault="00947A3E" w:rsidP="002F362D">
      <w:pPr>
        <w:pStyle w:val="StatutoryGuidanceMainText"/>
        <w:numPr>
          <w:ilvl w:val="1"/>
          <w:numId w:val="29"/>
        </w:numPr>
        <w:ind w:left="612" w:hanging="612"/>
      </w:pPr>
      <w:r>
        <w:t>T</w:t>
      </w:r>
      <w:r w:rsidR="6C8BBC09">
        <w:t xml:space="preserve">he landlord </w:t>
      </w:r>
      <w:r w:rsidR="004E615E">
        <w:t xml:space="preserve">should </w:t>
      </w:r>
      <w:r w:rsidR="6C8BBC09">
        <w:t>determine whether there is any funding available </w:t>
      </w:r>
      <w:r w:rsidR="00673A40">
        <w:t xml:space="preserve">to them </w:t>
      </w:r>
      <w:r w:rsidR="6C8BBC09">
        <w:t xml:space="preserve">through </w:t>
      </w:r>
      <w:r w:rsidR="6C8BBC09" w:rsidRPr="000435C4">
        <w:t xml:space="preserve">an appropriate </w:t>
      </w:r>
      <w:r w:rsidR="00AF1BE1">
        <w:t>g</w:t>
      </w:r>
      <w:r w:rsidR="6C8BBC09" w:rsidRPr="000435C4">
        <w:t>overnment</w:t>
      </w:r>
      <w:r w:rsidR="14EB7370" w:rsidRPr="000435C4">
        <w:t xml:space="preserve"> scheme</w:t>
      </w:r>
      <w:r w:rsidR="00A741D6">
        <w:t>,</w:t>
      </w:r>
      <w:r w:rsidR="5EAFCC8C" w:rsidRPr="000435C4">
        <w:t xml:space="preserve"> </w:t>
      </w:r>
      <w:r w:rsidR="00C37DBB" w:rsidRPr="00C37DBB">
        <w:t xml:space="preserve">such as the </w:t>
      </w:r>
      <w:r w:rsidR="00C37DBB" w:rsidRPr="00B834E4">
        <w:t xml:space="preserve">Building Safety Fund, the Social and Private Sector ACM Cladding Remediation Funds, other future </w:t>
      </w:r>
      <w:r w:rsidR="00AF1BE1">
        <w:t>g</w:t>
      </w:r>
      <w:r w:rsidR="00C37DBB" w:rsidRPr="00B834E4">
        <w:t xml:space="preserve">overnment funds </w:t>
      </w:r>
      <w:r w:rsidR="00373A28">
        <w:t xml:space="preserve">including the </w:t>
      </w:r>
      <w:bookmarkEnd w:id="94"/>
      <w:r w:rsidR="00E05FDE" w:rsidRPr="00E05FDE">
        <w:t>new scheme for buildings between 11-18m in height (details on will be published in 2023)</w:t>
      </w:r>
    </w:p>
    <w:p w14:paraId="7E91E49D" w14:textId="27D122BA" w:rsidR="00327413" w:rsidRPr="000435C4" w:rsidRDefault="00327413" w:rsidP="00AE0760">
      <w:pPr>
        <w:pStyle w:val="StatutoryGuidanceMainText"/>
        <w:numPr>
          <w:ilvl w:val="1"/>
          <w:numId w:val="29"/>
        </w:numPr>
        <w:ind w:left="595" w:hanging="612"/>
      </w:pPr>
      <w:bookmarkStart w:id="95" w:name="_Toc109832514"/>
      <w:r w:rsidRPr="000435C4">
        <w:t xml:space="preserve">Where an appropriate government scheme exists, the landlord should pursue it </w:t>
      </w:r>
      <w:r w:rsidR="7E63B930" w:rsidRPr="000435C4">
        <w:t>a</w:t>
      </w:r>
      <w:r w:rsidR="00D933A7">
        <w:t xml:space="preserve">s </w:t>
      </w:r>
      <w:r w:rsidR="7E63B930" w:rsidRPr="000435C4">
        <w:t>a</w:t>
      </w:r>
      <w:r w:rsidR="7C9C0B8A" w:rsidRPr="000435C4">
        <w:t xml:space="preserve"> </w:t>
      </w:r>
      <w:r w:rsidR="00CC60B3">
        <w:t>cost recovery avenue.</w:t>
      </w:r>
    </w:p>
    <w:p w14:paraId="55475822" w14:textId="2F677B73" w:rsidR="005D7048" w:rsidRPr="000435C4" w:rsidRDefault="00BB2613" w:rsidP="00AE0760">
      <w:pPr>
        <w:pStyle w:val="StatutoryGuidanceMainText"/>
        <w:numPr>
          <w:ilvl w:val="1"/>
          <w:numId w:val="29"/>
        </w:numPr>
        <w:ind w:left="595" w:hanging="612"/>
      </w:pPr>
      <w:r w:rsidRPr="000435C4">
        <w:t xml:space="preserve">When deciding whether to apply for a government scheme, the landlord should familiarise themselves with any application guidance related to the fund to ensure eligibility and avoid causing unnecessary delays to the process. It should be noted that government </w:t>
      </w:r>
      <w:r w:rsidR="4292B77B" w:rsidRPr="000435C4">
        <w:t>grant</w:t>
      </w:r>
      <w:r w:rsidR="1FC7BFD2" w:rsidRPr="000435C4">
        <w:t xml:space="preserve"> schemes </w:t>
      </w:r>
      <w:r w:rsidR="00BA3838" w:rsidRPr="000435C4">
        <w:t>may</w:t>
      </w:r>
      <w:r w:rsidRPr="000435C4">
        <w:t xml:space="preserve"> require </w:t>
      </w:r>
      <w:r w:rsidR="00837E78">
        <w:t xml:space="preserve">the landlord to </w:t>
      </w:r>
      <w:r w:rsidRPr="000435C4">
        <w:t>demonstrat</w:t>
      </w:r>
      <w:r w:rsidR="00837E78">
        <w:t>e</w:t>
      </w:r>
      <w:r w:rsidRPr="000435C4">
        <w:t xml:space="preserve"> that all reasonable steps have been taken to recover costs </w:t>
      </w:r>
      <w:r w:rsidR="67782AF2" w:rsidRPr="000435C4">
        <w:t>from other parties</w:t>
      </w:r>
      <w:r w:rsidR="4292B77B" w:rsidRPr="000435C4">
        <w:t xml:space="preserve"> </w:t>
      </w:r>
      <w:r w:rsidR="3FA094DF" w:rsidRPr="000435C4">
        <w:t>during the application process</w:t>
      </w:r>
      <w:r w:rsidRPr="000435C4">
        <w:t>, and so the landlord should take this into account.</w:t>
      </w:r>
      <w:bookmarkEnd w:id="95"/>
    </w:p>
    <w:p w14:paraId="2D0D017F" w14:textId="3722EDA4" w:rsidR="005D7048" w:rsidRPr="000435C4" w:rsidRDefault="005D7048" w:rsidP="00AE0760">
      <w:pPr>
        <w:pStyle w:val="StatutoryGuidanceMainText"/>
        <w:numPr>
          <w:ilvl w:val="1"/>
          <w:numId w:val="29"/>
        </w:numPr>
        <w:ind w:left="595" w:hanging="612"/>
      </w:pPr>
      <w:bookmarkStart w:id="96" w:name="_Toc109832516"/>
      <w:r w:rsidRPr="000435C4">
        <w:t xml:space="preserve">The landlord </w:t>
      </w:r>
      <w:r w:rsidR="004E615E" w:rsidRPr="000435C4">
        <w:t>should</w:t>
      </w:r>
      <w:r w:rsidRPr="000435C4">
        <w:t xml:space="preserve"> apply </w:t>
      </w:r>
      <w:r w:rsidR="00837E78">
        <w:t xml:space="preserve">for funding </w:t>
      </w:r>
      <w:r w:rsidRPr="000435C4">
        <w:t xml:space="preserve">where a building may be eligible and comply with any requirements set out by the </w:t>
      </w:r>
      <w:r w:rsidR="00E57D6F">
        <w:t>d</w:t>
      </w:r>
      <w:r w:rsidRPr="000435C4">
        <w:t>epartment in a timely manner.</w:t>
      </w:r>
      <w:bookmarkEnd w:id="96"/>
      <w:r w:rsidRPr="000435C4">
        <w:t> </w:t>
      </w:r>
    </w:p>
    <w:p w14:paraId="7244A86D" w14:textId="404E03D9" w:rsidR="0010115D" w:rsidRPr="000435C4" w:rsidRDefault="005D7048" w:rsidP="00AE0760">
      <w:pPr>
        <w:pStyle w:val="StatutoryGuidanceMainText"/>
        <w:numPr>
          <w:ilvl w:val="1"/>
          <w:numId w:val="29"/>
        </w:numPr>
        <w:ind w:left="595" w:hanging="612"/>
      </w:pPr>
      <w:bookmarkStart w:id="97" w:name="_Toc109832517"/>
      <w:r w:rsidRPr="000435C4">
        <w:t xml:space="preserve">As any </w:t>
      </w:r>
      <w:r w:rsidR="00AF1BE1">
        <w:t>g</w:t>
      </w:r>
      <w:r w:rsidRPr="000435C4">
        <w:t xml:space="preserve">overnment funding or grant is subject to legal due diligence and </w:t>
      </w:r>
      <w:r w:rsidR="00AF1BE1">
        <w:t>d</w:t>
      </w:r>
      <w:r w:rsidRPr="000435C4">
        <w:t>epartmental assessment, the landlord</w:t>
      </w:r>
      <w:r w:rsidR="004E615E" w:rsidRPr="000435C4">
        <w:t xml:space="preserve"> should</w:t>
      </w:r>
      <w:r w:rsidRPr="000435C4">
        <w:t xml:space="preserve"> ensure that any information provided is accurate so that it does not impede the process and cause any unnecessary delays.</w:t>
      </w:r>
      <w:bookmarkEnd w:id="97"/>
      <w:r w:rsidRPr="000435C4">
        <w:t>  </w:t>
      </w:r>
      <w:bookmarkStart w:id="98" w:name="_Toc109832518"/>
      <w:r w:rsidRPr="000435C4">
        <w:t xml:space="preserve"> </w:t>
      </w:r>
    </w:p>
    <w:p w14:paraId="449181EF" w14:textId="61897B1B" w:rsidR="00F27432" w:rsidRPr="00B006F3" w:rsidRDefault="005D7048" w:rsidP="0010115D">
      <w:pPr>
        <w:pStyle w:val="NoSpacing"/>
        <w:rPr>
          <w:sz w:val="6"/>
          <w:szCs w:val="6"/>
        </w:rPr>
      </w:pPr>
      <w:r w:rsidRPr="000435C4">
        <w:t xml:space="preserve"> </w:t>
      </w:r>
      <w:bookmarkEnd w:id="98"/>
    </w:p>
    <w:p w14:paraId="3318197F" w14:textId="1D502100" w:rsidR="003D1CF8" w:rsidRPr="00EF11FB" w:rsidRDefault="003D1CF8" w:rsidP="00EF11FB">
      <w:pPr>
        <w:pStyle w:val="Heading1"/>
        <w:rPr>
          <w:rStyle w:val="FootnoteReference"/>
        </w:rPr>
      </w:pPr>
      <w:bookmarkStart w:id="99" w:name="_Toc109832520"/>
      <w:bookmarkStart w:id="100" w:name="_Toc115948291"/>
      <w:r w:rsidRPr="00EF11FB">
        <w:rPr>
          <w:rStyle w:val="normaltextrun"/>
        </w:rPr>
        <w:lastRenderedPageBreak/>
        <w:t xml:space="preserve">Other </w:t>
      </w:r>
      <w:r w:rsidR="00795EE2" w:rsidRPr="00EF11FB">
        <w:rPr>
          <w:rStyle w:val="normaltextrun"/>
        </w:rPr>
        <w:t>d</w:t>
      </w:r>
      <w:r w:rsidRPr="00EF11FB">
        <w:rPr>
          <w:rStyle w:val="normaltextrun"/>
        </w:rPr>
        <w:t>uties</w:t>
      </w:r>
      <w:bookmarkEnd w:id="99"/>
      <w:bookmarkEnd w:id="100"/>
    </w:p>
    <w:p w14:paraId="7F0507D9" w14:textId="546FE79F" w:rsidR="00AD2F18" w:rsidRPr="003623A1" w:rsidRDefault="00C04CD9" w:rsidP="00724915">
      <w:pPr>
        <w:pStyle w:val="Heading2"/>
        <w:numPr>
          <w:ilvl w:val="0"/>
          <w:numId w:val="0"/>
        </w:numPr>
        <w:ind w:left="754" w:hanging="612"/>
        <w:rPr>
          <w:rStyle w:val="normaltextrun"/>
          <w:rFonts w:cs="Arial"/>
          <w:bCs/>
          <w:szCs w:val="28"/>
        </w:rPr>
      </w:pPr>
      <w:bookmarkStart w:id="101" w:name="_Toc109832521"/>
      <w:bookmarkStart w:id="102" w:name="_Toc115948292"/>
      <w:r>
        <w:rPr>
          <w:rStyle w:val="Heading1Char"/>
          <w:rFonts w:cs="Arial"/>
          <w:b/>
          <w:bCs/>
          <w:sz w:val="28"/>
          <w:szCs w:val="28"/>
        </w:rPr>
        <w:t>1</w:t>
      </w:r>
      <w:r w:rsidR="00AE0760">
        <w:rPr>
          <w:rStyle w:val="Heading1Char"/>
          <w:rFonts w:cs="Arial"/>
          <w:b/>
          <w:bCs/>
          <w:sz w:val="28"/>
          <w:szCs w:val="28"/>
        </w:rPr>
        <w:t>3</w:t>
      </w:r>
      <w:r w:rsidR="00703B45">
        <w:rPr>
          <w:rStyle w:val="Heading1Char"/>
          <w:rFonts w:cs="Arial"/>
          <w:b/>
          <w:bCs/>
          <w:sz w:val="28"/>
          <w:szCs w:val="28"/>
        </w:rPr>
        <w:t xml:space="preserve">. </w:t>
      </w:r>
      <w:r w:rsidR="00AD2F18" w:rsidRPr="00A3359F">
        <w:rPr>
          <w:rStyle w:val="Heading1Char"/>
          <w:rFonts w:cs="Arial"/>
          <w:b/>
          <w:bCs/>
          <w:sz w:val="28"/>
          <w:szCs w:val="28"/>
        </w:rPr>
        <w:t xml:space="preserve">Information </w:t>
      </w:r>
      <w:r w:rsidR="00795EE2" w:rsidRPr="00EF11FB">
        <w:rPr>
          <w:rStyle w:val="Heading1Char"/>
          <w:b/>
          <w:sz w:val="28"/>
          <w:szCs w:val="26"/>
        </w:rPr>
        <w:t>p</w:t>
      </w:r>
      <w:r w:rsidR="00AD2F18" w:rsidRPr="00EF11FB">
        <w:rPr>
          <w:rStyle w:val="Heading1Char"/>
          <w:b/>
          <w:sz w:val="28"/>
          <w:szCs w:val="26"/>
        </w:rPr>
        <w:t>rovision</w:t>
      </w:r>
      <w:bookmarkEnd w:id="101"/>
      <w:bookmarkEnd w:id="102"/>
    </w:p>
    <w:p w14:paraId="22B6A1F9" w14:textId="2218F642" w:rsidR="00153E32" w:rsidRDefault="00543634" w:rsidP="003C3DCA">
      <w:pPr>
        <w:pStyle w:val="StatutoryGuidanceMainText"/>
        <w:numPr>
          <w:ilvl w:val="1"/>
          <w:numId w:val="30"/>
        </w:numPr>
        <w:ind w:left="612" w:hanging="612"/>
      </w:pPr>
      <w:bookmarkStart w:id="103" w:name="_Toc109832522"/>
      <w:r w:rsidRPr="00365400">
        <w:t xml:space="preserve">Landlords must </w:t>
      </w:r>
      <w:r w:rsidR="00E56D7A" w:rsidRPr="00365400">
        <w:t xml:space="preserve">provide </w:t>
      </w:r>
      <w:r w:rsidRPr="00365400">
        <w:t>evidence to the leaseholder</w:t>
      </w:r>
      <w:r w:rsidR="00E56D7A" w:rsidRPr="00365400">
        <w:t xml:space="preserve"> to demonstrate </w:t>
      </w:r>
      <w:r w:rsidRPr="00365400">
        <w:t>the reasonable steps they have undertaken or will undertake</w:t>
      </w:r>
      <w:r w:rsidR="003C3DCA">
        <w:t>,</w:t>
      </w:r>
      <w:r w:rsidRPr="00365400">
        <w:t xml:space="preserve"> in line with </w:t>
      </w:r>
      <w:r w:rsidR="00940126" w:rsidRPr="00365400">
        <w:t>section 20ZA(</w:t>
      </w:r>
      <w:r w:rsidR="00E42D4D" w:rsidRPr="00365400">
        <w:t>5A</w:t>
      </w:r>
      <w:r w:rsidR="00940126" w:rsidRPr="00365400">
        <w:t>) of the Landlord and Tenant Act 1985</w:t>
      </w:r>
      <w:r w:rsidR="00384D80" w:rsidRPr="00365400">
        <w:t>.</w:t>
      </w:r>
      <w:r w:rsidR="00940126" w:rsidRPr="00365400">
        <w:t xml:space="preserve"> </w:t>
      </w:r>
      <w:r w:rsidR="00E56D7A" w:rsidRPr="00365400">
        <w:t>  </w:t>
      </w:r>
      <w:r w:rsidRPr="00365400">
        <w:t xml:space="preserve"> </w:t>
      </w:r>
      <w:bookmarkEnd w:id="103"/>
      <w:r w:rsidRPr="00365400">
        <w:t xml:space="preserve"> </w:t>
      </w:r>
    </w:p>
    <w:p w14:paraId="082D5A96" w14:textId="6C253040" w:rsidR="007370F5" w:rsidRPr="00365400" w:rsidRDefault="006E77F5" w:rsidP="00AE0760">
      <w:pPr>
        <w:pStyle w:val="StatutoryGuidanceMainText"/>
        <w:numPr>
          <w:ilvl w:val="1"/>
          <w:numId w:val="30"/>
        </w:numPr>
        <w:ind w:left="612" w:hanging="612"/>
      </w:pPr>
      <w:r w:rsidRPr="00043523">
        <w:rPr>
          <w:b/>
          <w:bCs/>
        </w:rPr>
        <w:t>[</w:t>
      </w:r>
      <w:r w:rsidR="007370F5" w:rsidRPr="00365400">
        <w:t xml:space="preserve">Landlords must provide leaseholders with a final summary containing the most up-to-date details of their pursuits for each defect in question, as per the information provision regulations </w:t>
      </w:r>
      <w:r w:rsidR="006D15C7" w:rsidRPr="0074090C">
        <w:t>[hyperlink to be inserted</w:t>
      </w:r>
      <w:r w:rsidR="00A80C68" w:rsidRPr="0074090C">
        <w:t xml:space="preserve"> once the regulations have been commenced</w:t>
      </w:r>
      <w:r w:rsidR="007370F5" w:rsidRPr="0074090C">
        <w:t xml:space="preserve">. </w:t>
      </w:r>
      <w:r w:rsidR="007370F5" w:rsidRPr="00365400">
        <w:t>This will be an absolute requirement, so landlords will have to comply before they can pass costs on to leaseholders. Without this summary, leaseholders do not have a legal obligation to pay towards the remediation of that defect.</w:t>
      </w:r>
    </w:p>
    <w:p w14:paraId="4EF8DC39" w14:textId="76326EFE" w:rsidR="007370F5" w:rsidRPr="00365400" w:rsidRDefault="007370F5" w:rsidP="00AE0760">
      <w:pPr>
        <w:pStyle w:val="StatutoryGuidanceMainText"/>
        <w:numPr>
          <w:ilvl w:val="1"/>
          <w:numId w:val="30"/>
        </w:numPr>
        <w:ind w:left="595" w:hanging="612"/>
      </w:pPr>
      <w:r w:rsidRPr="00365400">
        <w:t>Leaseholders should be kept informed promptly and as thoroughly as reasonably possible. We consider a minimum of a yearly update to be best practice but accept derogations where reasonable to fit in with the terms of individual leases.</w:t>
      </w:r>
      <w:r w:rsidR="00DD4D8D" w:rsidRPr="00365400" w:rsidDel="00DD4D8D">
        <w:t xml:space="preserve"> </w:t>
      </w:r>
      <w:r w:rsidRPr="00365400">
        <w:t xml:space="preserve">Landlords would need to be able to demonstrate a compelling reason for failing to meet the timelines set out in the guidance (for </w:t>
      </w:r>
      <w:r w:rsidR="005E4A0E" w:rsidRPr="00365400">
        <w:t>example</w:t>
      </w:r>
      <w:r w:rsidRPr="00365400">
        <w:t>, in some cases, an annual update might not</w:t>
      </w:r>
      <w:r w:rsidR="005E4A0E" w:rsidRPr="00365400">
        <w:t xml:space="preserve"> align with</w:t>
      </w:r>
      <w:r w:rsidRPr="00365400">
        <w:t xml:space="preserve"> the terms of the lease).</w:t>
      </w:r>
      <w:r w:rsidR="00732C85" w:rsidRPr="00365400">
        <w:t xml:space="preserve"> </w:t>
      </w:r>
    </w:p>
    <w:p w14:paraId="3C25453C" w14:textId="2EC82F16" w:rsidR="007370F5" w:rsidRPr="00365400" w:rsidRDefault="007370F5" w:rsidP="00AE0760">
      <w:pPr>
        <w:pStyle w:val="StatutoryGuidanceMainText"/>
        <w:numPr>
          <w:ilvl w:val="1"/>
          <w:numId w:val="30"/>
        </w:numPr>
        <w:ind w:left="595" w:hanging="612"/>
      </w:pPr>
      <w:r w:rsidRPr="00365400">
        <w:t xml:space="preserve">Guidance relating to the information provisions can be found here </w:t>
      </w:r>
      <w:r w:rsidR="00AC30FE" w:rsidRPr="0074090C">
        <w:t>[</w:t>
      </w:r>
      <w:r w:rsidR="004E0E51" w:rsidRPr="0074090C">
        <w:t>hyperlink to guidance to be inserted</w:t>
      </w:r>
      <w:r w:rsidR="003216B5" w:rsidRPr="0074090C">
        <w:t xml:space="preserve"> </w:t>
      </w:r>
      <w:r w:rsidRPr="0074090C">
        <w:t xml:space="preserve">once </w:t>
      </w:r>
      <w:r w:rsidR="00E066EE" w:rsidRPr="0074090C">
        <w:t xml:space="preserve">the </w:t>
      </w:r>
      <w:r w:rsidR="00C02B5B" w:rsidRPr="0074090C">
        <w:t>regulations</w:t>
      </w:r>
      <w:r w:rsidR="00E066EE" w:rsidRPr="0074090C">
        <w:t xml:space="preserve"> have been </w:t>
      </w:r>
      <w:r w:rsidRPr="0074090C">
        <w:t>commenced</w:t>
      </w:r>
      <w:r w:rsidR="00AC30FE" w:rsidRPr="0074090C">
        <w:t>]</w:t>
      </w:r>
      <w:r w:rsidRPr="0074090C">
        <w:t xml:space="preserve">. </w:t>
      </w:r>
    </w:p>
    <w:p w14:paraId="65CE13AE" w14:textId="081F1C42" w:rsidR="00881901" w:rsidRPr="00365400" w:rsidRDefault="00881901" w:rsidP="00AE0760">
      <w:pPr>
        <w:pStyle w:val="StatutoryGuidanceMainText"/>
        <w:numPr>
          <w:ilvl w:val="1"/>
          <w:numId w:val="30"/>
        </w:numPr>
        <w:ind w:left="595" w:hanging="612"/>
      </w:pPr>
      <w:r w:rsidRPr="00365400">
        <w:t xml:space="preserve">Landlords should note that this duty does not </w:t>
      </w:r>
      <w:r w:rsidR="00895601">
        <w:t>over</w:t>
      </w:r>
      <w:r w:rsidR="00062165">
        <w:t xml:space="preserve">ride </w:t>
      </w:r>
      <w:r w:rsidRPr="00365400">
        <w:t xml:space="preserve">their rights to legal </w:t>
      </w:r>
      <w:r w:rsidR="00B25595">
        <w:t xml:space="preserve">professional </w:t>
      </w:r>
      <w:r w:rsidRPr="00365400">
        <w:t xml:space="preserve">privilege.  Leaseholders </w:t>
      </w:r>
      <w:r w:rsidR="00542D03" w:rsidRPr="00365400">
        <w:t>can appeal to the First-tier Tribunal if they fee</w:t>
      </w:r>
      <w:r w:rsidR="00047063" w:rsidRPr="00365400">
        <w:t xml:space="preserve">l that landlords have </w:t>
      </w:r>
      <w:r w:rsidR="00916F5F" w:rsidRPr="00365400">
        <w:t>claimed legal privilege unreasonably</w:t>
      </w:r>
      <w:r w:rsidR="00043523" w:rsidRPr="00043523">
        <w:rPr>
          <w:b/>
          <w:bCs/>
        </w:rPr>
        <w:t>]</w:t>
      </w:r>
      <w:r w:rsidR="00043523">
        <w:rPr>
          <w:rStyle w:val="FootnoteReference"/>
          <w:b/>
          <w:bCs/>
        </w:rPr>
        <w:footnoteReference w:id="3"/>
      </w:r>
      <w:r w:rsidR="00916F5F" w:rsidRPr="00365400">
        <w:t xml:space="preserve">. </w:t>
      </w:r>
    </w:p>
    <w:p w14:paraId="17E3F1A7" w14:textId="349B4119" w:rsidR="004C6839" w:rsidRDefault="004C6839" w:rsidP="00365400">
      <w:pPr>
        <w:pStyle w:val="StatutoryGuidanceMainText"/>
        <w:numPr>
          <w:ilvl w:val="0"/>
          <w:numId w:val="0"/>
        </w:numPr>
        <w:rPr>
          <w:color w:val="C00000"/>
          <w:highlight w:val="yellow"/>
        </w:rPr>
      </w:pPr>
    </w:p>
    <w:p w14:paraId="0642217F" w14:textId="627B0249" w:rsidR="00001C37" w:rsidRPr="00C734F3" w:rsidRDefault="00703B45" w:rsidP="00724915">
      <w:pPr>
        <w:pStyle w:val="Heading2"/>
        <w:numPr>
          <w:ilvl w:val="0"/>
          <w:numId w:val="0"/>
        </w:numPr>
        <w:ind w:left="754" w:hanging="612"/>
      </w:pPr>
      <w:bookmarkStart w:id="104" w:name="_Toc115948293"/>
      <w:bookmarkStart w:id="105" w:name="_Toc109832523"/>
      <w:r>
        <w:t>1</w:t>
      </w:r>
      <w:r w:rsidR="00AE0760">
        <w:t>4</w:t>
      </w:r>
      <w:r>
        <w:t xml:space="preserve">. </w:t>
      </w:r>
      <w:r w:rsidR="006959AF">
        <w:t>Carrying out notifiable building work in existing buildings</w:t>
      </w:r>
      <w:bookmarkEnd w:id="104"/>
      <w:r w:rsidR="006959AF">
        <w:t xml:space="preserve"> </w:t>
      </w:r>
      <w:r w:rsidR="00001C37" w:rsidRPr="00C734F3">
        <w:t xml:space="preserve"> </w:t>
      </w:r>
      <w:bookmarkEnd w:id="105"/>
    </w:p>
    <w:p w14:paraId="0FAB6DB8" w14:textId="00718063" w:rsidR="009A2694" w:rsidRDefault="009A2694" w:rsidP="009A2694">
      <w:pPr>
        <w:pStyle w:val="StatutoryGuidanceMainText"/>
        <w:numPr>
          <w:ilvl w:val="1"/>
          <w:numId w:val="31"/>
        </w:numPr>
        <w:ind w:left="612" w:hanging="612"/>
      </w:pPr>
      <w:r w:rsidRPr="009A2694">
        <w:t xml:space="preserve">Notifiable building work carried out in existing buildings must comply with the relevant Building Regulation requirements and is subject to regulatory oversight either through a building control application to a building control body or through a work undertaken through a competent person scheme. </w:t>
      </w:r>
    </w:p>
    <w:p w14:paraId="4F703434" w14:textId="226FE972" w:rsidR="009A2694" w:rsidRPr="00D63BAD" w:rsidRDefault="009A2694" w:rsidP="009A2694">
      <w:pPr>
        <w:pStyle w:val="StatutoryGuidanceMainText"/>
        <w:numPr>
          <w:ilvl w:val="1"/>
          <w:numId w:val="31"/>
        </w:numPr>
        <w:ind w:left="612" w:hanging="612"/>
      </w:pPr>
      <w:r w:rsidRPr="009A2694">
        <w:t xml:space="preserve">The Building Safety Act also establishes a more stringent regulatory framework for new high-rise residential buildings, care homes and hospitals which are 18 metres or more in height, or at least seven storeys. When the provisions are enacted, notifiable building work in these buildings, which is not being carried out under a competent persons scheme, must be submitted to the Building Safety Regulator through a building control application for approval. The landlord/person carrying out the work must outline to the Regulator how the work will comply with the relevant building regulations’ requirements, which will include demonstrating that it the measures being taken are appropriate for the use of the building and obtain building control approval prior to proceeding with the remediation work. Landlords overseeing building work </w:t>
      </w:r>
      <w:r w:rsidRPr="009A2694">
        <w:lastRenderedPageBreak/>
        <w:t>carried out in buildings out of scope of the new more stringent regime must equally ensure the work complies with the relevant Building Regulations requirements.</w:t>
      </w:r>
    </w:p>
    <w:p w14:paraId="7EDA2584" w14:textId="77777777" w:rsidR="002D191F" w:rsidRDefault="002D191F" w:rsidP="00CC0FE2">
      <w:pPr>
        <w:pStyle w:val="ListParagraph"/>
        <w:ind w:left="420" w:firstLine="0"/>
      </w:pPr>
    </w:p>
    <w:p w14:paraId="5B6FC0AF" w14:textId="64777557" w:rsidR="00FE774C" w:rsidRDefault="00FE774C" w:rsidP="00724915">
      <w:pPr>
        <w:pStyle w:val="Heading2"/>
        <w:numPr>
          <w:ilvl w:val="0"/>
          <w:numId w:val="0"/>
        </w:numPr>
        <w:ind w:left="754" w:hanging="612"/>
        <w:rPr>
          <w:rStyle w:val="Heading1Char"/>
          <w:rFonts w:cs="Arial"/>
          <w:b/>
          <w:bCs/>
          <w:sz w:val="28"/>
          <w:szCs w:val="28"/>
        </w:rPr>
      </w:pPr>
      <w:bookmarkStart w:id="106" w:name="_Toc115948294"/>
      <w:r>
        <w:rPr>
          <w:rStyle w:val="Heading1Char"/>
          <w:rFonts w:cs="Arial"/>
          <w:b/>
          <w:bCs/>
          <w:sz w:val="28"/>
          <w:szCs w:val="28"/>
        </w:rPr>
        <w:t>1</w:t>
      </w:r>
      <w:r w:rsidR="00AE0760">
        <w:rPr>
          <w:rStyle w:val="Heading1Char"/>
          <w:rFonts w:cs="Arial"/>
          <w:b/>
          <w:bCs/>
          <w:sz w:val="28"/>
          <w:szCs w:val="28"/>
        </w:rPr>
        <w:t>5</w:t>
      </w:r>
      <w:r>
        <w:rPr>
          <w:rStyle w:val="Heading1Char"/>
          <w:rFonts w:cs="Arial"/>
          <w:b/>
          <w:bCs/>
          <w:sz w:val="28"/>
          <w:szCs w:val="28"/>
        </w:rPr>
        <w:t>. Other relevant legislation</w:t>
      </w:r>
      <w:bookmarkEnd w:id="106"/>
    </w:p>
    <w:p w14:paraId="0A413EA1" w14:textId="3C61D2D7" w:rsidR="00FE774C" w:rsidRDefault="00AE0760" w:rsidP="00AE0760">
      <w:pPr>
        <w:pStyle w:val="StatutoryGuidanceMainText"/>
        <w:numPr>
          <w:ilvl w:val="1"/>
          <w:numId w:val="32"/>
        </w:numPr>
        <w:ind w:left="612" w:hanging="612"/>
      </w:pPr>
      <w:r>
        <w:t xml:space="preserve">It </w:t>
      </w:r>
      <w:r w:rsidR="00FE774C">
        <w:t xml:space="preserve">should also be noted that landlords may be subject to </w:t>
      </w:r>
      <w:r w:rsidR="001928AA">
        <w:t xml:space="preserve">other </w:t>
      </w:r>
      <w:r w:rsidR="00FE774C">
        <w:t>pieces of enforcement legislation – thes</w:t>
      </w:r>
      <w:r w:rsidR="006A09B1">
        <w:t>e</w:t>
      </w:r>
      <w:r w:rsidR="00FE774C">
        <w:t xml:space="preserve"> include, but </w:t>
      </w:r>
      <w:r w:rsidR="006A09B1">
        <w:t xml:space="preserve">are </w:t>
      </w:r>
      <w:r w:rsidR="00FE774C">
        <w:t xml:space="preserve">not </w:t>
      </w:r>
      <w:r w:rsidR="6D1FC0ED">
        <w:t xml:space="preserve">necessarily </w:t>
      </w:r>
      <w:r w:rsidR="00FE774C">
        <w:t>limited to:</w:t>
      </w:r>
    </w:p>
    <w:p w14:paraId="1EA51EAF" w14:textId="77777777" w:rsidR="007B1D27" w:rsidRDefault="00000000" w:rsidP="007B1D27">
      <w:pPr>
        <w:pStyle w:val="StatutoryGuidanceMainText"/>
        <w:numPr>
          <w:ilvl w:val="2"/>
          <w:numId w:val="32"/>
        </w:numPr>
      </w:pPr>
      <w:hyperlink r:id="rId14" w:history="1">
        <w:r w:rsidR="00FE774C">
          <w:rPr>
            <w:rStyle w:val="Hyperlink"/>
          </w:rPr>
          <w:t>Housing Act 2004</w:t>
        </w:r>
      </w:hyperlink>
    </w:p>
    <w:p w14:paraId="3956B2D3" w14:textId="4285B608" w:rsidR="00FE774C" w:rsidRDefault="00000000" w:rsidP="007B1D27">
      <w:pPr>
        <w:pStyle w:val="StatutoryGuidanceMainText"/>
        <w:numPr>
          <w:ilvl w:val="2"/>
          <w:numId w:val="32"/>
        </w:numPr>
        <w:rPr>
          <w:rStyle w:val="Hyperlink"/>
          <w:color w:val="auto"/>
          <w:u w:val="none"/>
        </w:rPr>
      </w:pPr>
      <w:hyperlink r:id="rId15" w:history="1">
        <w:hyperlink r:id="rId16" w:history="1">
          <w:r w:rsidR="00FE774C">
            <w:rPr>
              <w:rStyle w:val="Hyperlink"/>
            </w:rPr>
            <w:t>Regulatory Reform (Fire Safety) Order 2005</w:t>
          </w:r>
        </w:hyperlink>
      </w:hyperlink>
    </w:p>
    <w:p w14:paraId="6B42AF1D" w14:textId="67A4A8A3" w:rsidR="00FE774C" w:rsidRDefault="00000000" w:rsidP="007B1D27">
      <w:pPr>
        <w:pStyle w:val="StatutoryGuidanceMainText"/>
        <w:numPr>
          <w:ilvl w:val="2"/>
          <w:numId w:val="32"/>
        </w:numPr>
      </w:pPr>
      <w:hyperlink r:id="rId17" w:history="1">
        <w:r w:rsidR="00FE774C">
          <w:rPr>
            <w:rStyle w:val="Hyperlink"/>
          </w:rPr>
          <w:t>Building Safety Act (2022)</w:t>
        </w:r>
      </w:hyperlink>
    </w:p>
    <w:p w14:paraId="1FC29105" w14:textId="3BD1C40C" w:rsidR="00001C37" w:rsidRPr="00474E6F" w:rsidRDefault="00FE774C" w:rsidP="00AE0760">
      <w:pPr>
        <w:pStyle w:val="StatutoryGuidanceMainText"/>
        <w:numPr>
          <w:ilvl w:val="1"/>
          <w:numId w:val="32"/>
        </w:numPr>
        <w:ind w:left="612" w:hanging="612"/>
      </w:pPr>
      <w:r>
        <w:t>Each of these pieces of legislation has the potential to enforce different deadlines regarding building safety works. Landlords should note that pursuing alternative cost recovery avenues may not necessarily correlate with the enforced deadlines.</w:t>
      </w:r>
    </w:p>
    <w:sectPr w:rsidR="00001C37" w:rsidRPr="00474E6F">
      <w:headerReference w:type="even" r:id="rId18"/>
      <w:headerReference w:type="default" r:id="rId19"/>
      <w:footerReference w:type="default" r:id="rId20"/>
      <w:head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2BEF1" w14:textId="77777777" w:rsidR="004E3770" w:rsidRDefault="004E3770" w:rsidP="005D7048">
      <w:pPr>
        <w:spacing w:line="240" w:lineRule="auto"/>
      </w:pPr>
      <w:r>
        <w:separator/>
      </w:r>
    </w:p>
  </w:endnote>
  <w:endnote w:type="continuationSeparator" w:id="0">
    <w:p w14:paraId="303E1BA9" w14:textId="77777777" w:rsidR="004E3770" w:rsidRDefault="004E3770" w:rsidP="005D7048">
      <w:pPr>
        <w:spacing w:line="240" w:lineRule="auto"/>
      </w:pPr>
      <w:r>
        <w:continuationSeparator/>
      </w:r>
    </w:p>
  </w:endnote>
  <w:endnote w:type="continuationNotice" w:id="1">
    <w:p w14:paraId="7EDC236D" w14:textId="77777777" w:rsidR="004E3770" w:rsidRDefault="004E377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860786737"/>
      <w:docPartObj>
        <w:docPartGallery w:val="Page Numbers (Bottom of Page)"/>
        <w:docPartUnique/>
      </w:docPartObj>
    </w:sdtPr>
    <w:sdtContent>
      <w:sdt>
        <w:sdtPr>
          <w:rPr>
            <w:rFonts w:ascii="Arial" w:hAnsi="Arial" w:cs="Arial"/>
          </w:rPr>
          <w:id w:val="-1769616900"/>
          <w:docPartObj>
            <w:docPartGallery w:val="Page Numbers (Top of Page)"/>
            <w:docPartUnique/>
          </w:docPartObj>
        </w:sdtPr>
        <w:sdtContent>
          <w:p w14:paraId="40A3A30A" w14:textId="3C6BCE7E" w:rsidR="00CA45E9" w:rsidRPr="0010159A" w:rsidRDefault="0010159A">
            <w:pPr>
              <w:pStyle w:val="Footer"/>
              <w:jc w:val="right"/>
              <w:rPr>
                <w:rFonts w:ascii="Arial" w:hAnsi="Arial" w:cs="Arial"/>
              </w:rPr>
            </w:pPr>
            <w:r w:rsidRPr="0010159A">
              <w:rPr>
                <w:rFonts w:ascii="Arial" w:hAnsi="Arial" w:cs="Arial"/>
              </w:rPr>
              <w:t xml:space="preserve">Page </w:t>
            </w:r>
            <w:r w:rsidRPr="0010159A">
              <w:rPr>
                <w:rFonts w:ascii="Arial" w:hAnsi="Arial" w:cs="Arial"/>
                <w:b/>
                <w:bCs/>
                <w:sz w:val="24"/>
                <w:szCs w:val="24"/>
              </w:rPr>
              <w:fldChar w:fldCharType="begin"/>
            </w:r>
            <w:r w:rsidRPr="0010159A">
              <w:rPr>
                <w:rFonts w:ascii="Arial" w:hAnsi="Arial" w:cs="Arial"/>
                <w:b/>
                <w:bCs/>
              </w:rPr>
              <w:instrText xml:space="preserve"> PAGE </w:instrText>
            </w:r>
            <w:r w:rsidRPr="0010159A">
              <w:rPr>
                <w:rFonts w:ascii="Arial" w:hAnsi="Arial" w:cs="Arial"/>
                <w:b/>
                <w:bCs/>
                <w:sz w:val="24"/>
                <w:szCs w:val="24"/>
              </w:rPr>
              <w:fldChar w:fldCharType="separate"/>
            </w:r>
            <w:r w:rsidRPr="0010159A">
              <w:rPr>
                <w:rFonts w:ascii="Arial" w:hAnsi="Arial" w:cs="Arial"/>
                <w:b/>
                <w:bCs/>
                <w:noProof/>
              </w:rPr>
              <w:t>2</w:t>
            </w:r>
            <w:r w:rsidRPr="0010159A">
              <w:rPr>
                <w:rFonts w:ascii="Arial" w:hAnsi="Arial" w:cs="Arial"/>
                <w:b/>
                <w:bCs/>
                <w:sz w:val="24"/>
                <w:szCs w:val="24"/>
              </w:rPr>
              <w:fldChar w:fldCharType="end"/>
            </w:r>
            <w:r w:rsidRPr="0010159A">
              <w:rPr>
                <w:rFonts w:ascii="Arial" w:hAnsi="Arial" w:cs="Arial"/>
              </w:rPr>
              <w:t xml:space="preserve"> of </w:t>
            </w:r>
            <w:r w:rsidRPr="0010159A">
              <w:rPr>
                <w:rFonts w:ascii="Arial" w:hAnsi="Arial" w:cs="Arial"/>
                <w:b/>
                <w:bCs/>
                <w:sz w:val="24"/>
                <w:szCs w:val="24"/>
              </w:rPr>
              <w:fldChar w:fldCharType="begin"/>
            </w:r>
            <w:r w:rsidRPr="0010159A">
              <w:rPr>
                <w:rFonts w:ascii="Arial" w:hAnsi="Arial" w:cs="Arial"/>
                <w:b/>
                <w:bCs/>
              </w:rPr>
              <w:instrText xml:space="preserve"> NUMPAGES  </w:instrText>
            </w:r>
            <w:r w:rsidRPr="0010159A">
              <w:rPr>
                <w:rFonts w:ascii="Arial" w:hAnsi="Arial" w:cs="Arial"/>
                <w:b/>
                <w:bCs/>
                <w:sz w:val="24"/>
                <w:szCs w:val="24"/>
              </w:rPr>
              <w:fldChar w:fldCharType="separate"/>
            </w:r>
            <w:r w:rsidRPr="0010159A">
              <w:rPr>
                <w:rFonts w:ascii="Arial" w:hAnsi="Arial" w:cs="Arial"/>
                <w:b/>
                <w:bCs/>
                <w:noProof/>
              </w:rPr>
              <w:t>2</w:t>
            </w:r>
            <w:r w:rsidRPr="0010159A">
              <w:rPr>
                <w:rFonts w:ascii="Arial" w:hAnsi="Arial" w:cs="Arial"/>
                <w:b/>
                <w:bCs/>
                <w:sz w:val="24"/>
                <w:szCs w:val="24"/>
              </w:rPr>
              <w:fldChar w:fldCharType="end"/>
            </w:r>
          </w:p>
        </w:sdtContent>
      </w:sdt>
    </w:sdtContent>
  </w:sdt>
  <w:p w14:paraId="6888B6CE" w14:textId="77777777" w:rsidR="00B1094A" w:rsidRPr="0010159A" w:rsidRDefault="00B1094A">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0496F" w14:textId="77777777" w:rsidR="004E3770" w:rsidRDefault="004E3770" w:rsidP="005D7048">
      <w:pPr>
        <w:spacing w:line="240" w:lineRule="auto"/>
      </w:pPr>
      <w:r>
        <w:separator/>
      </w:r>
    </w:p>
  </w:footnote>
  <w:footnote w:type="continuationSeparator" w:id="0">
    <w:p w14:paraId="10C92902" w14:textId="77777777" w:rsidR="004E3770" w:rsidRDefault="004E3770" w:rsidP="005D7048">
      <w:pPr>
        <w:spacing w:line="240" w:lineRule="auto"/>
      </w:pPr>
      <w:r>
        <w:continuationSeparator/>
      </w:r>
    </w:p>
  </w:footnote>
  <w:footnote w:type="continuationNotice" w:id="1">
    <w:p w14:paraId="2588079E" w14:textId="77777777" w:rsidR="004E3770" w:rsidRDefault="004E3770">
      <w:pPr>
        <w:spacing w:line="240" w:lineRule="auto"/>
      </w:pPr>
    </w:p>
  </w:footnote>
  <w:footnote w:id="2">
    <w:p w14:paraId="34F0AA76" w14:textId="77777777" w:rsidR="006377DF" w:rsidRDefault="006377DF" w:rsidP="006377DF">
      <w:pPr>
        <w:pStyle w:val="FootnoteText"/>
        <w:ind w:left="142" w:firstLine="0"/>
      </w:pPr>
      <w:r>
        <w:rPr>
          <w:rStyle w:val="FootnoteReference"/>
        </w:rPr>
        <w:footnoteRef/>
      </w:r>
      <w:r>
        <w:t xml:space="preserve"> </w:t>
      </w:r>
      <w:r w:rsidRPr="003D4895">
        <w:rPr>
          <w:rFonts w:ascii="Arial" w:hAnsi="Arial" w:cs="Arial"/>
          <w:sz w:val="18"/>
          <w:szCs w:val="18"/>
        </w:rPr>
        <w:t xml:space="preserve">Text found within square brackets is </w:t>
      </w:r>
      <w:r>
        <w:rPr>
          <w:rFonts w:ascii="Arial" w:hAnsi="Arial" w:cs="Arial"/>
          <w:sz w:val="18"/>
          <w:szCs w:val="18"/>
        </w:rPr>
        <w:t xml:space="preserve">based on policy proposals which are </w:t>
      </w:r>
      <w:r w:rsidRPr="003D4895">
        <w:rPr>
          <w:rFonts w:ascii="Arial" w:hAnsi="Arial" w:cs="Arial"/>
          <w:sz w:val="18"/>
          <w:szCs w:val="18"/>
        </w:rPr>
        <w:t>being consulted on, and so is subject to change post-consultation.</w:t>
      </w:r>
    </w:p>
  </w:footnote>
  <w:footnote w:id="3">
    <w:p w14:paraId="128F4D06" w14:textId="2685DE38" w:rsidR="00043523" w:rsidRPr="00043523" w:rsidRDefault="00043523" w:rsidP="00702EE6">
      <w:pPr>
        <w:pStyle w:val="FootnoteText"/>
        <w:ind w:left="142" w:firstLine="0"/>
        <w:rPr>
          <w:b/>
          <w:bCs/>
        </w:rPr>
      </w:pPr>
      <w:r>
        <w:rPr>
          <w:rStyle w:val="FootnoteReference"/>
        </w:rPr>
        <w:footnoteRef/>
      </w:r>
      <w:r>
        <w:t xml:space="preserve"> </w:t>
      </w:r>
      <w:r w:rsidRPr="003D4895">
        <w:rPr>
          <w:rFonts w:ascii="Arial" w:hAnsi="Arial" w:cs="Arial"/>
          <w:sz w:val="18"/>
          <w:szCs w:val="18"/>
        </w:rPr>
        <w:t xml:space="preserve">Text found within square brackets is </w:t>
      </w:r>
      <w:r>
        <w:rPr>
          <w:rFonts w:ascii="Arial" w:hAnsi="Arial" w:cs="Arial"/>
          <w:sz w:val="18"/>
          <w:szCs w:val="18"/>
        </w:rPr>
        <w:t xml:space="preserve">based on policy proposals which are </w:t>
      </w:r>
      <w:r w:rsidRPr="003D4895">
        <w:rPr>
          <w:rFonts w:ascii="Arial" w:hAnsi="Arial" w:cs="Arial"/>
          <w:sz w:val="18"/>
          <w:szCs w:val="18"/>
        </w:rPr>
        <w:t>being consulted on, and so is subject to change post-consultation.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46D5" w14:textId="6685A89D" w:rsidR="005D7048" w:rsidRDefault="00000000">
    <w:pPr>
      <w:pStyle w:val="Header"/>
    </w:pPr>
    <w:r>
      <w:rPr>
        <w:noProof/>
        <w:color w:val="2B579A"/>
        <w:shd w:val="clear" w:color="auto" w:fill="E6E6E6"/>
      </w:rPr>
      <w:pict w14:anchorId="04DB27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416422" o:spid="_x0000_s1026" type="#_x0000_t136" style="position:absolute;left:0;text-align:left;margin-left:0;margin-top:0;width:454.5pt;height:181.8pt;rotation:315;z-index:-251658239;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CB7F4" w14:textId="0828A622" w:rsidR="009217DE" w:rsidRDefault="009217DE" w:rsidP="0031782A">
    <w:pPr>
      <w:pStyle w:val="Header"/>
      <w:rPr>
        <w:sz w:val="48"/>
        <w:szCs w:val="48"/>
      </w:rPr>
    </w:pPr>
    <w:r>
      <w:rPr>
        <w:noProof/>
      </w:rPr>
      <w:drawing>
        <wp:inline distT="0" distB="0" distL="0" distR="0" wp14:anchorId="3C348050" wp14:editId="436A9375">
          <wp:extent cx="2286000" cy="811219"/>
          <wp:effectExtent l="0" t="0" r="0" b="8255"/>
          <wp:docPr id="1" name="Picture 1" descr="DLUHC responds to claims of 'injustice' and says it will consider options -  Property Industry 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UHC responds to claims of 'injustice' and says it will consider options -  Property Industry Ey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3495" cy="820976"/>
                  </a:xfrm>
                  <a:prstGeom prst="rect">
                    <a:avLst/>
                  </a:prstGeom>
                  <a:noFill/>
                  <a:ln>
                    <a:noFill/>
                  </a:ln>
                </pic:spPr>
              </pic:pic>
            </a:graphicData>
          </a:graphic>
        </wp:inline>
      </w:drawing>
    </w:r>
  </w:p>
  <w:p w14:paraId="11D8C680" w14:textId="243382C2" w:rsidR="005D7048" w:rsidRPr="009217DE" w:rsidRDefault="00000000" w:rsidP="00664F85">
    <w:pPr>
      <w:pStyle w:val="Header"/>
      <w:ind w:left="0" w:firstLine="0"/>
      <w:rPr>
        <w:b/>
      </w:rPr>
    </w:pPr>
    <w:r>
      <w:rPr>
        <w:noProof/>
        <w:color w:val="2B579A"/>
        <w:shd w:val="clear" w:color="auto" w:fill="E6E6E6"/>
      </w:rPr>
      <w:pict w14:anchorId="661337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416423" o:spid="_x0000_s1027" type="#_x0000_t136" style="position:absolute;margin-left:0;margin-top:0;width:454.5pt;height:181.8pt;rotation:315;z-index:-25165823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58E8F" w14:textId="51E7CE52" w:rsidR="005D7048" w:rsidRDefault="00000000">
    <w:pPr>
      <w:pStyle w:val="Header"/>
    </w:pPr>
    <w:r>
      <w:rPr>
        <w:noProof/>
        <w:color w:val="2B579A"/>
        <w:shd w:val="clear" w:color="auto" w:fill="E6E6E6"/>
      </w:rPr>
      <w:pict w14:anchorId="16E107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416421" o:spid="_x0000_s1025" type="#_x0000_t136" style="position:absolute;left:0;text-align:left;margin-left:0;margin-top:0;width:454.5pt;height:181.8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intelligence2.xml><?xml version="1.0" encoding="utf-8"?>
<int2:intelligence xmlns:int2="http://schemas.microsoft.com/office/intelligence/2020/intelligence" xmlns:oel="http://schemas.microsoft.com/office/2019/extlst">
  <int2:observations>
    <int2:textHash int2:hashCode="OjwgNgZqZ6NMz/" int2:id="A77oGnLi">
      <int2:state int2:value="Rejected" int2:type="AugLoop_Text_Critique"/>
    </int2:textHash>
    <int2:textHash int2:hashCode="VRd/LyDcPFdCnc" int2:id="uwynX8rs">
      <int2:state int2:value="Rejected" int2:type="AugLoop_Text_Critique"/>
    </int2:textHash>
    <int2:bookmark int2:bookmarkName="_Int_Do5wJG8j" int2:invalidationBookmarkName="" int2:hashCode="tH82PitDDAZH8U" int2:id="AAPc8Lmq">
      <int2:state int2:value="Rejected" int2:type="LegacyProofing"/>
    </int2:bookmark>
    <int2:bookmark int2:bookmarkName="_Int_tHAOu5lB" int2:invalidationBookmarkName="" int2:hashCode="N46vHp00iLjb7K" int2:id="wPzGPorZ">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835"/>
    <w:multiLevelType w:val="hybridMultilevel"/>
    <w:tmpl w:val="F86AB4B8"/>
    <w:lvl w:ilvl="0" w:tplc="9CCA88A0">
      <w:start w:val="1"/>
      <w:numFmt w:val="lowerLetter"/>
      <w:lvlText w:val="%1)"/>
      <w:lvlJc w:val="left"/>
      <w:pPr>
        <w:ind w:left="1440" w:hanging="360"/>
      </w:pPr>
      <w:rPr>
        <w:rFonts w:ascii="Arial"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A116099"/>
    <w:multiLevelType w:val="multilevel"/>
    <w:tmpl w:val="2430BE16"/>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3348D0"/>
    <w:multiLevelType w:val="multilevel"/>
    <w:tmpl w:val="32E0027E"/>
    <w:styleLink w:val="CurrentList1"/>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D4B3993"/>
    <w:multiLevelType w:val="hybridMultilevel"/>
    <w:tmpl w:val="FA8A36A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D645633"/>
    <w:multiLevelType w:val="hybridMultilevel"/>
    <w:tmpl w:val="5E9620A6"/>
    <w:lvl w:ilvl="0" w:tplc="0809000F">
      <w:start w:val="1"/>
      <w:numFmt w:val="decimal"/>
      <w:pStyle w:val="StatutoryGuidanceMainText"/>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35D10A8"/>
    <w:multiLevelType w:val="multilevel"/>
    <w:tmpl w:val="80C6BDD0"/>
    <w:lvl w:ilvl="0">
      <w:start w:val="2"/>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6" w15:restartNumberingAfterBreak="0">
    <w:nsid w:val="21B43C11"/>
    <w:multiLevelType w:val="multilevel"/>
    <w:tmpl w:val="4140BE56"/>
    <w:lvl w:ilvl="0">
      <w:start w:val="1"/>
      <w:numFmt w:val="decimal"/>
      <w:lvlText w:val="%1."/>
      <w:lvlJc w:val="left"/>
      <w:pPr>
        <w:ind w:left="360" w:hanging="360"/>
      </w:pPr>
      <w:rPr>
        <w:b/>
        <w:bCs w:val="0"/>
        <w:i w:val="0"/>
        <w:iCs w:val="0"/>
        <w:color w:val="auto"/>
        <w:sz w:val="24"/>
        <w:szCs w:val="24"/>
      </w:rPr>
    </w:lvl>
    <w:lvl w:ilvl="1">
      <w:start w:val="1"/>
      <w:numFmt w:val="decimal"/>
      <w:lvlText w:val="%1.%2"/>
      <w:lvlJc w:val="left"/>
      <w:pPr>
        <w:ind w:left="499" w:hanging="499"/>
      </w:pPr>
      <w:rPr>
        <w:rFonts w:ascii="Arial" w:hAnsi="Arial" w:hint="default"/>
        <w:b w:val="0"/>
        <w:i w:val="0"/>
        <w:iCs w:val="0"/>
        <w:color w:val="0B0C0C"/>
        <w:sz w:val="24"/>
      </w:rPr>
    </w:lvl>
    <w:lvl w:ilvl="2">
      <w:start w:val="1"/>
      <w:numFmt w:val="decimal"/>
      <w:lvlText w:val="%1.%2.%3"/>
      <w:lvlJc w:val="left"/>
      <w:pPr>
        <w:ind w:left="1713" w:hanging="720"/>
      </w:pPr>
      <w:rPr>
        <w:rFonts w:ascii="Arial" w:hAnsi="Arial" w:hint="default"/>
        <w:color w:val="0B0C0C"/>
      </w:rPr>
    </w:lvl>
    <w:lvl w:ilvl="3">
      <w:start w:val="1"/>
      <w:numFmt w:val="decimal"/>
      <w:lvlText w:val="%1.%2.%3.%4"/>
      <w:lvlJc w:val="left"/>
      <w:pPr>
        <w:ind w:left="2563" w:hanging="720"/>
      </w:pPr>
      <w:rPr>
        <w:color w:val="0B0C0C"/>
      </w:rPr>
    </w:lvl>
    <w:lvl w:ilvl="4">
      <w:start w:val="1"/>
      <w:numFmt w:val="decimal"/>
      <w:lvlText w:val="%1.%2.%3.%4.%5"/>
      <w:lvlJc w:val="left"/>
      <w:pPr>
        <w:ind w:left="1080" w:hanging="1080"/>
      </w:pPr>
      <w:rPr>
        <w:rFonts w:hint="default"/>
        <w:color w:val="0B0C0C"/>
      </w:rPr>
    </w:lvl>
    <w:lvl w:ilvl="5">
      <w:start w:val="1"/>
      <w:numFmt w:val="decimal"/>
      <w:lvlText w:val="%1.%2.%3.%4.%5.%6"/>
      <w:lvlJc w:val="left"/>
      <w:pPr>
        <w:ind w:left="1080" w:hanging="1080"/>
      </w:pPr>
      <w:rPr>
        <w:rFonts w:hint="default"/>
        <w:color w:val="0B0C0C"/>
      </w:rPr>
    </w:lvl>
    <w:lvl w:ilvl="6">
      <w:start w:val="1"/>
      <w:numFmt w:val="decimal"/>
      <w:lvlText w:val="%1.%2.%3.%4.%5.%6.%7"/>
      <w:lvlJc w:val="left"/>
      <w:pPr>
        <w:ind w:left="1440" w:hanging="1440"/>
      </w:pPr>
      <w:rPr>
        <w:rFonts w:hint="default"/>
        <w:color w:val="0B0C0C"/>
      </w:rPr>
    </w:lvl>
    <w:lvl w:ilvl="7">
      <w:start w:val="1"/>
      <w:numFmt w:val="decimal"/>
      <w:lvlText w:val="%1.%2.%3.%4.%5.%6.%7.%8"/>
      <w:lvlJc w:val="left"/>
      <w:pPr>
        <w:ind w:left="1440" w:hanging="1440"/>
      </w:pPr>
      <w:rPr>
        <w:rFonts w:hint="default"/>
        <w:color w:val="0B0C0C"/>
      </w:rPr>
    </w:lvl>
    <w:lvl w:ilvl="8">
      <w:start w:val="1"/>
      <w:numFmt w:val="decimal"/>
      <w:lvlText w:val="%1.%2.%3.%4.%5.%6.%7.%8.%9"/>
      <w:lvlJc w:val="left"/>
      <w:pPr>
        <w:ind w:left="1800" w:hanging="1800"/>
      </w:pPr>
      <w:rPr>
        <w:rFonts w:hint="default"/>
        <w:color w:val="0B0C0C"/>
      </w:rPr>
    </w:lvl>
  </w:abstractNum>
  <w:abstractNum w:abstractNumId="7" w15:restartNumberingAfterBreak="0">
    <w:nsid w:val="21B43EB4"/>
    <w:multiLevelType w:val="multilevel"/>
    <w:tmpl w:val="72660F3A"/>
    <w:lvl w:ilvl="0">
      <w:start w:val="11"/>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26B06DB1"/>
    <w:multiLevelType w:val="multilevel"/>
    <w:tmpl w:val="E86E718A"/>
    <w:lvl w:ilvl="0">
      <w:start w:val="5"/>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722" w:hanging="720"/>
      </w:pPr>
      <w:rPr>
        <w:rFonts w:hint="default"/>
      </w:rPr>
    </w:lvl>
    <w:lvl w:ilvl="3">
      <w:start w:val="1"/>
      <w:numFmt w:val="decimal"/>
      <w:lvlText w:val="%1.%2.%3.%4"/>
      <w:lvlJc w:val="left"/>
      <w:pPr>
        <w:ind w:left="2223" w:hanging="720"/>
      </w:pPr>
      <w:rPr>
        <w:rFonts w:hint="default"/>
      </w:rPr>
    </w:lvl>
    <w:lvl w:ilvl="4">
      <w:start w:val="1"/>
      <w:numFmt w:val="decimal"/>
      <w:lvlText w:val="%1.%2.%3.%4.%5"/>
      <w:lvlJc w:val="left"/>
      <w:pPr>
        <w:ind w:left="3084" w:hanging="1080"/>
      </w:pPr>
      <w:rPr>
        <w:rFonts w:hint="default"/>
      </w:rPr>
    </w:lvl>
    <w:lvl w:ilvl="5">
      <w:start w:val="1"/>
      <w:numFmt w:val="decimal"/>
      <w:lvlText w:val="%1.%2.%3.%4.%5.%6"/>
      <w:lvlJc w:val="left"/>
      <w:pPr>
        <w:ind w:left="3585" w:hanging="1080"/>
      </w:pPr>
      <w:rPr>
        <w:rFonts w:hint="default"/>
      </w:rPr>
    </w:lvl>
    <w:lvl w:ilvl="6">
      <w:start w:val="1"/>
      <w:numFmt w:val="decimal"/>
      <w:lvlText w:val="%1.%2.%3.%4.%5.%6.%7"/>
      <w:lvlJc w:val="left"/>
      <w:pPr>
        <w:ind w:left="4446" w:hanging="1440"/>
      </w:pPr>
      <w:rPr>
        <w:rFonts w:hint="default"/>
      </w:rPr>
    </w:lvl>
    <w:lvl w:ilvl="7">
      <w:start w:val="1"/>
      <w:numFmt w:val="decimal"/>
      <w:lvlText w:val="%1.%2.%3.%4.%5.%6.%7.%8"/>
      <w:lvlJc w:val="left"/>
      <w:pPr>
        <w:ind w:left="4947" w:hanging="1440"/>
      </w:pPr>
      <w:rPr>
        <w:rFonts w:hint="default"/>
      </w:rPr>
    </w:lvl>
    <w:lvl w:ilvl="8">
      <w:start w:val="1"/>
      <w:numFmt w:val="decimal"/>
      <w:lvlText w:val="%1.%2.%3.%4.%5.%6.%7.%8.%9"/>
      <w:lvlJc w:val="left"/>
      <w:pPr>
        <w:ind w:left="5808" w:hanging="1800"/>
      </w:pPr>
      <w:rPr>
        <w:rFonts w:hint="default"/>
      </w:rPr>
    </w:lvl>
  </w:abstractNum>
  <w:abstractNum w:abstractNumId="9" w15:restartNumberingAfterBreak="0">
    <w:nsid w:val="31984B24"/>
    <w:multiLevelType w:val="multilevel"/>
    <w:tmpl w:val="B0A649BC"/>
    <w:lvl w:ilvl="0">
      <w:start w:val="10"/>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2228" w:hanging="720"/>
      </w:pPr>
      <w:rPr>
        <w:rFonts w:hint="default"/>
      </w:rPr>
    </w:lvl>
    <w:lvl w:ilvl="3">
      <w:start w:val="1"/>
      <w:numFmt w:val="decimal"/>
      <w:lvlText w:val="%1.%2.%3.%4"/>
      <w:lvlJc w:val="left"/>
      <w:pPr>
        <w:ind w:left="2982" w:hanging="720"/>
      </w:pPr>
      <w:rPr>
        <w:rFonts w:hint="default"/>
      </w:rPr>
    </w:lvl>
    <w:lvl w:ilvl="4">
      <w:start w:val="1"/>
      <w:numFmt w:val="decimal"/>
      <w:lvlText w:val="%1.%2.%3.%4.%5"/>
      <w:lvlJc w:val="left"/>
      <w:pPr>
        <w:ind w:left="4096" w:hanging="1080"/>
      </w:pPr>
      <w:rPr>
        <w:rFonts w:hint="default"/>
      </w:rPr>
    </w:lvl>
    <w:lvl w:ilvl="5">
      <w:start w:val="1"/>
      <w:numFmt w:val="decimal"/>
      <w:lvlText w:val="%1.%2.%3.%4.%5.%6"/>
      <w:lvlJc w:val="left"/>
      <w:pPr>
        <w:ind w:left="4850" w:hanging="1080"/>
      </w:pPr>
      <w:rPr>
        <w:rFonts w:hint="default"/>
      </w:rPr>
    </w:lvl>
    <w:lvl w:ilvl="6">
      <w:start w:val="1"/>
      <w:numFmt w:val="decimal"/>
      <w:lvlText w:val="%1.%2.%3.%4.%5.%6.%7"/>
      <w:lvlJc w:val="left"/>
      <w:pPr>
        <w:ind w:left="5964" w:hanging="1440"/>
      </w:pPr>
      <w:rPr>
        <w:rFonts w:hint="default"/>
      </w:rPr>
    </w:lvl>
    <w:lvl w:ilvl="7">
      <w:start w:val="1"/>
      <w:numFmt w:val="decimal"/>
      <w:lvlText w:val="%1.%2.%3.%4.%5.%6.%7.%8"/>
      <w:lvlJc w:val="left"/>
      <w:pPr>
        <w:ind w:left="6718" w:hanging="1440"/>
      </w:pPr>
      <w:rPr>
        <w:rFonts w:hint="default"/>
      </w:rPr>
    </w:lvl>
    <w:lvl w:ilvl="8">
      <w:start w:val="1"/>
      <w:numFmt w:val="decimal"/>
      <w:lvlText w:val="%1.%2.%3.%4.%5.%6.%7.%8.%9"/>
      <w:lvlJc w:val="left"/>
      <w:pPr>
        <w:ind w:left="7832" w:hanging="1800"/>
      </w:pPr>
      <w:rPr>
        <w:rFonts w:hint="default"/>
      </w:rPr>
    </w:lvl>
  </w:abstractNum>
  <w:abstractNum w:abstractNumId="10" w15:restartNumberingAfterBreak="0">
    <w:nsid w:val="32CF6A10"/>
    <w:multiLevelType w:val="multilevel"/>
    <w:tmpl w:val="6CB837F8"/>
    <w:lvl w:ilvl="0">
      <w:start w:val="16"/>
      <w:numFmt w:val="decimal"/>
      <w:lvlText w:val="%1"/>
      <w:lvlJc w:val="left"/>
      <w:pPr>
        <w:ind w:left="600" w:hanging="600"/>
      </w:pPr>
      <w:rPr>
        <w:rFonts w:hint="default"/>
      </w:rPr>
    </w:lvl>
    <w:lvl w:ilvl="1">
      <w:start w:val="1"/>
      <w:numFmt w:val="decimal"/>
      <w:lvlText w:val="%1.%2"/>
      <w:lvlJc w:val="left"/>
      <w:pPr>
        <w:ind w:left="1195" w:hanging="600"/>
      </w:pPr>
      <w:rPr>
        <w:rFonts w:hint="default"/>
      </w:rPr>
    </w:lvl>
    <w:lvl w:ilvl="2">
      <w:start w:val="2"/>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1" w15:restartNumberingAfterBreak="0">
    <w:nsid w:val="341077CB"/>
    <w:multiLevelType w:val="multilevel"/>
    <w:tmpl w:val="9AD8EFEA"/>
    <w:lvl w:ilvl="0">
      <w:start w:val="6"/>
      <w:numFmt w:val="decimal"/>
      <w:lvlText w:val="%1"/>
      <w:lvlJc w:val="left"/>
      <w:pPr>
        <w:ind w:left="360" w:hanging="360"/>
      </w:pPr>
      <w:rPr>
        <w:rFonts w:hint="default"/>
      </w:rPr>
    </w:lvl>
    <w:lvl w:ilvl="1">
      <w:start w:val="1"/>
      <w:numFmt w:val="decimal"/>
      <w:lvlText w:val="%1.%2"/>
      <w:lvlJc w:val="left"/>
      <w:pPr>
        <w:ind w:left="501" w:hanging="360"/>
      </w:pPr>
      <w:rPr>
        <w:rFonts w:hint="default"/>
        <w:b w:val="0"/>
        <w:bCs w:val="0"/>
      </w:rPr>
    </w:lvl>
    <w:lvl w:ilvl="2">
      <w:start w:val="1"/>
      <w:numFmt w:val="decimal"/>
      <w:lvlText w:val="%1.%2.%3"/>
      <w:lvlJc w:val="left"/>
      <w:pPr>
        <w:ind w:left="1996" w:hanging="720"/>
      </w:pPr>
      <w:rPr>
        <w:rFonts w:hint="default"/>
      </w:rPr>
    </w:lvl>
    <w:lvl w:ilvl="3">
      <w:start w:val="1"/>
      <w:numFmt w:val="decimal"/>
      <w:lvlText w:val="%1.%2.%3.%4"/>
      <w:lvlJc w:val="left"/>
      <w:pPr>
        <w:ind w:left="2982" w:hanging="720"/>
      </w:pPr>
      <w:rPr>
        <w:rFonts w:hint="default"/>
      </w:rPr>
    </w:lvl>
    <w:lvl w:ilvl="4">
      <w:start w:val="1"/>
      <w:numFmt w:val="decimal"/>
      <w:lvlText w:val="%1.%2.%3.%4.%5"/>
      <w:lvlJc w:val="left"/>
      <w:pPr>
        <w:ind w:left="4096" w:hanging="1080"/>
      </w:pPr>
      <w:rPr>
        <w:rFonts w:hint="default"/>
      </w:rPr>
    </w:lvl>
    <w:lvl w:ilvl="5">
      <w:start w:val="1"/>
      <w:numFmt w:val="decimal"/>
      <w:lvlText w:val="%1.%2.%3.%4.%5.%6"/>
      <w:lvlJc w:val="left"/>
      <w:pPr>
        <w:ind w:left="4850" w:hanging="1080"/>
      </w:pPr>
      <w:rPr>
        <w:rFonts w:hint="default"/>
      </w:rPr>
    </w:lvl>
    <w:lvl w:ilvl="6">
      <w:start w:val="1"/>
      <w:numFmt w:val="decimal"/>
      <w:lvlText w:val="%1.%2.%3.%4.%5.%6.%7"/>
      <w:lvlJc w:val="left"/>
      <w:pPr>
        <w:ind w:left="5964" w:hanging="1440"/>
      </w:pPr>
      <w:rPr>
        <w:rFonts w:hint="default"/>
      </w:rPr>
    </w:lvl>
    <w:lvl w:ilvl="7">
      <w:start w:val="1"/>
      <w:numFmt w:val="decimal"/>
      <w:lvlText w:val="%1.%2.%3.%4.%5.%6.%7.%8"/>
      <w:lvlJc w:val="left"/>
      <w:pPr>
        <w:ind w:left="6718" w:hanging="1440"/>
      </w:pPr>
      <w:rPr>
        <w:rFonts w:hint="default"/>
      </w:rPr>
    </w:lvl>
    <w:lvl w:ilvl="8">
      <w:start w:val="1"/>
      <w:numFmt w:val="decimal"/>
      <w:lvlText w:val="%1.%2.%3.%4.%5.%6.%7.%8.%9"/>
      <w:lvlJc w:val="left"/>
      <w:pPr>
        <w:ind w:left="7832" w:hanging="1800"/>
      </w:pPr>
      <w:rPr>
        <w:rFonts w:hint="default"/>
      </w:rPr>
    </w:lvl>
  </w:abstractNum>
  <w:abstractNum w:abstractNumId="12" w15:restartNumberingAfterBreak="0">
    <w:nsid w:val="3513666F"/>
    <w:multiLevelType w:val="multilevel"/>
    <w:tmpl w:val="EAB6CBF0"/>
    <w:styleLink w:val="StatutoryGuidanceText"/>
    <w:lvl w:ilvl="0">
      <w:start w:val="1"/>
      <w:numFmt w:val="decimal"/>
      <w:lvlText w:val="%1)"/>
      <w:lvlJc w:val="left"/>
      <w:pPr>
        <w:ind w:left="357" w:hanging="357"/>
      </w:pPr>
      <w:rPr>
        <w:rFonts w:hint="default"/>
      </w:rPr>
    </w:lvl>
    <w:lvl w:ilvl="1">
      <w:start w:val="1"/>
      <w:numFmt w:val="none"/>
      <w:lvlText w:val="%2)"/>
      <w:lvlJc w:val="left"/>
      <w:pPr>
        <w:ind w:left="714" w:hanging="357"/>
      </w:pPr>
      <w:rPr>
        <w:rFonts w:hint="default"/>
      </w:rPr>
    </w:lvl>
    <w:lvl w:ilvl="2">
      <w:start w:val="1"/>
      <w:numFmt w:val="none"/>
      <w:lvlText w:val="%3)"/>
      <w:lvlJc w:val="left"/>
      <w:pPr>
        <w:ind w:left="1071" w:hanging="357"/>
      </w:pPr>
      <w:rPr>
        <w:rFonts w:hint="default"/>
      </w:rPr>
    </w:lvl>
    <w:lvl w:ilvl="3">
      <w:start w:val="1"/>
      <w:numFmt w:val="none"/>
      <w:lvlText w:val="(%4)"/>
      <w:lvlJc w:val="left"/>
      <w:pPr>
        <w:ind w:left="1428" w:hanging="357"/>
      </w:pPr>
      <w:rPr>
        <w:rFonts w:hint="default"/>
      </w:rPr>
    </w:lvl>
    <w:lvl w:ilvl="4">
      <w:start w:val="1"/>
      <w:numFmt w:val="none"/>
      <w:lvlText w:val="(%5)"/>
      <w:lvlJc w:val="left"/>
      <w:pPr>
        <w:ind w:left="1785" w:hanging="357"/>
      </w:pPr>
      <w:rPr>
        <w:rFonts w:hint="default"/>
      </w:rPr>
    </w:lvl>
    <w:lvl w:ilvl="5">
      <w:start w:val="1"/>
      <w:numFmt w:val="none"/>
      <w:lvlText w:val="(%6)"/>
      <w:lvlJc w:val="left"/>
      <w:pPr>
        <w:ind w:left="2142" w:hanging="357"/>
      </w:pPr>
      <w:rPr>
        <w:rFonts w:hint="default"/>
      </w:rPr>
    </w:lvl>
    <w:lvl w:ilvl="6">
      <w:start w:val="1"/>
      <w:numFmt w:val="none"/>
      <w:lvlText w:val="%7."/>
      <w:lvlJc w:val="left"/>
      <w:pPr>
        <w:ind w:left="2499" w:hanging="357"/>
      </w:pPr>
      <w:rPr>
        <w:rFonts w:hint="default"/>
      </w:rPr>
    </w:lvl>
    <w:lvl w:ilvl="7">
      <w:start w:val="1"/>
      <w:numFmt w:val="none"/>
      <w:lvlText w:val="%8."/>
      <w:lvlJc w:val="left"/>
      <w:pPr>
        <w:ind w:left="2856" w:hanging="357"/>
      </w:pPr>
      <w:rPr>
        <w:rFonts w:hint="default"/>
      </w:rPr>
    </w:lvl>
    <w:lvl w:ilvl="8">
      <w:start w:val="1"/>
      <w:numFmt w:val="none"/>
      <w:lvlText w:val="%9."/>
      <w:lvlJc w:val="left"/>
      <w:pPr>
        <w:ind w:left="3213" w:hanging="357"/>
      </w:pPr>
      <w:rPr>
        <w:rFonts w:hint="default"/>
      </w:rPr>
    </w:lvl>
  </w:abstractNum>
  <w:abstractNum w:abstractNumId="13" w15:restartNumberingAfterBreak="0">
    <w:nsid w:val="35FD7975"/>
    <w:multiLevelType w:val="multilevel"/>
    <w:tmpl w:val="B1B86660"/>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E004A40"/>
    <w:multiLevelType w:val="hybridMultilevel"/>
    <w:tmpl w:val="75362A26"/>
    <w:lvl w:ilvl="0" w:tplc="08090017">
      <w:start w:val="1"/>
      <w:numFmt w:val="lowerLetter"/>
      <w:lvlText w:val="%1)"/>
      <w:lvlJc w:val="left"/>
      <w:pPr>
        <w:ind w:left="144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5" w15:restartNumberingAfterBreak="0">
    <w:nsid w:val="45DB270F"/>
    <w:multiLevelType w:val="multilevel"/>
    <w:tmpl w:val="565214BE"/>
    <w:lvl w:ilvl="0">
      <w:start w:val="4"/>
      <w:numFmt w:val="decimal"/>
      <w:lvlText w:val="%1"/>
      <w:lvlJc w:val="left"/>
      <w:pPr>
        <w:ind w:left="360" w:hanging="360"/>
      </w:pPr>
      <w:rPr>
        <w:rFonts w:ascii="Arial" w:hAnsi="Arial" w:cs="Arial" w:hint="default"/>
      </w:rPr>
    </w:lvl>
    <w:lvl w:ilvl="1">
      <w:start w:val="1"/>
      <w:numFmt w:val="decimal"/>
      <w:lvlText w:val="%1.%2"/>
      <w:lvlJc w:val="left"/>
      <w:pPr>
        <w:ind w:left="501" w:hanging="360"/>
      </w:pPr>
      <w:rPr>
        <w:rFonts w:ascii="Arial" w:hAnsi="Arial" w:cs="Arial" w:hint="default"/>
      </w:rPr>
    </w:lvl>
    <w:lvl w:ilvl="2">
      <w:start w:val="1"/>
      <w:numFmt w:val="decimal"/>
      <w:lvlText w:val="%1.%2.%3"/>
      <w:lvlJc w:val="left"/>
      <w:pPr>
        <w:ind w:left="1002" w:hanging="720"/>
      </w:pPr>
      <w:rPr>
        <w:rFonts w:ascii="Arial" w:hAnsi="Arial" w:cs="Arial" w:hint="default"/>
      </w:rPr>
    </w:lvl>
    <w:lvl w:ilvl="3">
      <w:start w:val="1"/>
      <w:numFmt w:val="decimal"/>
      <w:lvlText w:val="%1.%2.%3.%4"/>
      <w:lvlJc w:val="left"/>
      <w:pPr>
        <w:ind w:left="1143" w:hanging="720"/>
      </w:pPr>
      <w:rPr>
        <w:rFonts w:ascii="Arial" w:hAnsi="Arial" w:cs="Arial" w:hint="default"/>
      </w:rPr>
    </w:lvl>
    <w:lvl w:ilvl="4">
      <w:start w:val="1"/>
      <w:numFmt w:val="decimal"/>
      <w:lvlText w:val="%1.%2.%3.%4.%5"/>
      <w:lvlJc w:val="left"/>
      <w:pPr>
        <w:ind w:left="1644" w:hanging="1080"/>
      </w:pPr>
      <w:rPr>
        <w:rFonts w:ascii="Arial" w:hAnsi="Arial" w:cs="Arial" w:hint="default"/>
      </w:rPr>
    </w:lvl>
    <w:lvl w:ilvl="5">
      <w:start w:val="1"/>
      <w:numFmt w:val="decimal"/>
      <w:lvlText w:val="%1.%2.%3.%4.%5.%6"/>
      <w:lvlJc w:val="left"/>
      <w:pPr>
        <w:ind w:left="1785" w:hanging="1080"/>
      </w:pPr>
      <w:rPr>
        <w:rFonts w:ascii="Arial" w:hAnsi="Arial" w:cs="Arial" w:hint="default"/>
      </w:rPr>
    </w:lvl>
    <w:lvl w:ilvl="6">
      <w:start w:val="1"/>
      <w:numFmt w:val="decimal"/>
      <w:lvlText w:val="%1.%2.%3.%4.%5.%6.%7"/>
      <w:lvlJc w:val="left"/>
      <w:pPr>
        <w:ind w:left="2286" w:hanging="1440"/>
      </w:pPr>
      <w:rPr>
        <w:rFonts w:ascii="Arial" w:hAnsi="Arial" w:cs="Arial" w:hint="default"/>
      </w:rPr>
    </w:lvl>
    <w:lvl w:ilvl="7">
      <w:start w:val="1"/>
      <w:numFmt w:val="decimal"/>
      <w:lvlText w:val="%1.%2.%3.%4.%5.%6.%7.%8"/>
      <w:lvlJc w:val="left"/>
      <w:pPr>
        <w:ind w:left="2427" w:hanging="1440"/>
      </w:pPr>
      <w:rPr>
        <w:rFonts w:ascii="Arial" w:hAnsi="Arial" w:cs="Arial" w:hint="default"/>
      </w:rPr>
    </w:lvl>
    <w:lvl w:ilvl="8">
      <w:start w:val="1"/>
      <w:numFmt w:val="decimal"/>
      <w:lvlText w:val="%1.%2.%3.%4.%5.%6.%7.%8.%9"/>
      <w:lvlJc w:val="left"/>
      <w:pPr>
        <w:ind w:left="2568" w:hanging="1440"/>
      </w:pPr>
      <w:rPr>
        <w:rFonts w:ascii="Arial" w:hAnsi="Arial" w:cs="Arial" w:hint="default"/>
      </w:rPr>
    </w:lvl>
  </w:abstractNum>
  <w:abstractNum w:abstractNumId="16" w15:restartNumberingAfterBreak="0">
    <w:nsid w:val="4B512F7A"/>
    <w:multiLevelType w:val="multilevel"/>
    <w:tmpl w:val="3D24DC46"/>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7" w15:restartNumberingAfterBreak="0">
    <w:nsid w:val="4BC9180B"/>
    <w:multiLevelType w:val="multilevel"/>
    <w:tmpl w:val="45040BD0"/>
    <w:lvl w:ilvl="0">
      <w:start w:val="1"/>
      <w:numFmt w:val="decimal"/>
      <w:lvlText w:val="%1"/>
      <w:lvlJc w:val="left"/>
      <w:pPr>
        <w:ind w:left="360" w:hanging="360"/>
      </w:pPr>
      <w:rPr>
        <w:rFonts w:hint="default"/>
      </w:rPr>
    </w:lvl>
    <w:lvl w:ilvl="1">
      <w:start w:val="1"/>
      <w:numFmt w:val="decimal"/>
      <w:lvlText w:val="%1.%2"/>
      <w:lvlJc w:val="left"/>
      <w:pPr>
        <w:ind w:left="501" w:hanging="360"/>
      </w:pPr>
      <w:rPr>
        <w:rFonts w:hint="default"/>
        <w:b w:val="0"/>
        <w:bCs w:val="0"/>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18" w15:restartNumberingAfterBreak="0">
    <w:nsid w:val="4C95417F"/>
    <w:multiLevelType w:val="multilevel"/>
    <w:tmpl w:val="C0FC1C0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02E3605"/>
    <w:multiLevelType w:val="multilevel"/>
    <w:tmpl w:val="325C472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2D2776E"/>
    <w:multiLevelType w:val="multilevel"/>
    <w:tmpl w:val="2EA0F55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1" w15:restartNumberingAfterBreak="0">
    <w:nsid w:val="54313343"/>
    <w:multiLevelType w:val="multilevel"/>
    <w:tmpl w:val="AB3EEB9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CA32519"/>
    <w:multiLevelType w:val="multilevel"/>
    <w:tmpl w:val="E6388A02"/>
    <w:lvl w:ilvl="0">
      <w:start w:val="7"/>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3" w15:restartNumberingAfterBreak="0">
    <w:nsid w:val="6331228E"/>
    <w:multiLevelType w:val="multilevel"/>
    <w:tmpl w:val="BEE84362"/>
    <w:lvl w:ilvl="0">
      <w:start w:val="3"/>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4" w15:restartNumberingAfterBreak="0">
    <w:nsid w:val="636E333D"/>
    <w:multiLevelType w:val="multilevel"/>
    <w:tmpl w:val="D9C8815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5" w15:restartNumberingAfterBreak="0">
    <w:nsid w:val="646E28A4"/>
    <w:multiLevelType w:val="multilevel"/>
    <w:tmpl w:val="A3BABE8A"/>
    <w:lvl w:ilvl="0">
      <w:start w:val="1"/>
      <w:numFmt w:val="bullet"/>
      <w:lvlText w:val=""/>
      <w:lvlJc w:val="left"/>
      <w:pPr>
        <w:ind w:left="720" w:hanging="360"/>
      </w:pPr>
      <w:rPr>
        <w:rFonts w:ascii="Symbol" w:hAnsi="Symbol" w:hint="default"/>
        <w:b/>
        <w:bCs w:val="0"/>
        <w:i w:val="0"/>
        <w:iCs w:val="0"/>
        <w:color w:val="auto"/>
        <w:sz w:val="24"/>
        <w:szCs w:val="24"/>
      </w:rPr>
    </w:lvl>
    <w:lvl w:ilvl="1">
      <w:start w:val="1"/>
      <w:numFmt w:val="decimal"/>
      <w:lvlText w:val="%1.%2"/>
      <w:lvlJc w:val="left"/>
      <w:pPr>
        <w:ind w:left="859" w:hanging="499"/>
      </w:pPr>
      <w:rPr>
        <w:rFonts w:ascii="Arial" w:hAnsi="Arial" w:cs="Arial" w:hint="default"/>
        <w:b w:val="0"/>
        <w:i w:val="0"/>
        <w:iCs w:val="0"/>
        <w:color w:val="0B0C0C"/>
        <w:sz w:val="24"/>
      </w:rPr>
    </w:lvl>
    <w:lvl w:ilvl="2">
      <w:start w:val="1"/>
      <w:numFmt w:val="bullet"/>
      <w:lvlText w:val="o"/>
      <w:lvlJc w:val="left"/>
      <w:pPr>
        <w:ind w:left="2073" w:hanging="720"/>
      </w:pPr>
      <w:rPr>
        <w:rFonts w:ascii="Courier New" w:hAnsi="Courier New" w:cs="Courier New" w:hint="default"/>
        <w:color w:val="0B0C0C"/>
      </w:rPr>
    </w:lvl>
    <w:lvl w:ilvl="3">
      <w:start w:val="1"/>
      <w:numFmt w:val="decimal"/>
      <w:lvlText w:val="%1.%2.%3.%4"/>
      <w:lvlJc w:val="left"/>
      <w:pPr>
        <w:ind w:left="3773" w:hanging="720"/>
      </w:pPr>
      <w:rPr>
        <w:rFonts w:hint="default"/>
        <w:color w:val="0B0C0C"/>
      </w:rPr>
    </w:lvl>
    <w:lvl w:ilvl="4">
      <w:start w:val="1"/>
      <w:numFmt w:val="decimal"/>
      <w:lvlText w:val="%1.%2.%3.%4.%5"/>
      <w:lvlJc w:val="left"/>
      <w:pPr>
        <w:ind w:left="1440" w:hanging="1080"/>
      </w:pPr>
      <w:rPr>
        <w:rFonts w:hint="default"/>
        <w:color w:val="0B0C0C"/>
      </w:rPr>
    </w:lvl>
    <w:lvl w:ilvl="5">
      <w:start w:val="1"/>
      <w:numFmt w:val="decimal"/>
      <w:lvlText w:val="%1.%2.%3.%4.%5.%6"/>
      <w:lvlJc w:val="left"/>
      <w:pPr>
        <w:ind w:left="1440" w:hanging="1080"/>
      </w:pPr>
      <w:rPr>
        <w:rFonts w:hint="default"/>
        <w:color w:val="0B0C0C"/>
      </w:rPr>
    </w:lvl>
    <w:lvl w:ilvl="6">
      <w:start w:val="1"/>
      <w:numFmt w:val="decimal"/>
      <w:lvlText w:val="%1.%2.%3.%4.%5.%6.%7"/>
      <w:lvlJc w:val="left"/>
      <w:pPr>
        <w:ind w:left="1800" w:hanging="1440"/>
      </w:pPr>
      <w:rPr>
        <w:rFonts w:hint="default"/>
        <w:color w:val="0B0C0C"/>
      </w:rPr>
    </w:lvl>
    <w:lvl w:ilvl="7">
      <w:start w:val="1"/>
      <w:numFmt w:val="decimal"/>
      <w:lvlText w:val="%1.%2.%3.%4.%5.%6.%7.%8"/>
      <w:lvlJc w:val="left"/>
      <w:pPr>
        <w:ind w:left="1800" w:hanging="1440"/>
      </w:pPr>
      <w:rPr>
        <w:rFonts w:hint="default"/>
        <w:color w:val="0B0C0C"/>
      </w:rPr>
    </w:lvl>
    <w:lvl w:ilvl="8">
      <w:start w:val="1"/>
      <w:numFmt w:val="decimal"/>
      <w:lvlText w:val="%1.%2.%3.%4.%5.%6.%7.%8.%9"/>
      <w:lvlJc w:val="left"/>
      <w:pPr>
        <w:ind w:left="2160" w:hanging="1800"/>
      </w:pPr>
      <w:rPr>
        <w:rFonts w:hint="default"/>
        <w:color w:val="0B0C0C"/>
      </w:rPr>
    </w:lvl>
  </w:abstractNum>
  <w:abstractNum w:abstractNumId="26" w15:restartNumberingAfterBreak="0">
    <w:nsid w:val="6A0461F5"/>
    <w:multiLevelType w:val="multilevel"/>
    <w:tmpl w:val="814EFF9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7" w15:restartNumberingAfterBreak="0">
    <w:nsid w:val="6CCE794D"/>
    <w:multiLevelType w:val="multilevel"/>
    <w:tmpl w:val="95CA012C"/>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2946AD9"/>
    <w:multiLevelType w:val="hybridMultilevel"/>
    <w:tmpl w:val="05EC8F60"/>
    <w:lvl w:ilvl="0" w:tplc="1612F2E0">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29C125C"/>
    <w:multiLevelType w:val="multilevel"/>
    <w:tmpl w:val="10086C48"/>
    <w:lvl w:ilvl="0">
      <w:start w:val="5"/>
      <w:numFmt w:val="decimal"/>
      <w:lvlText w:val="%1"/>
      <w:lvlJc w:val="left"/>
      <w:pPr>
        <w:ind w:left="360" w:hanging="360"/>
      </w:pPr>
      <w:rPr>
        <w:rFonts w:hint="default"/>
      </w:rPr>
    </w:lvl>
    <w:lvl w:ilvl="1">
      <w:start w:val="1"/>
      <w:numFmt w:val="decimal"/>
      <w:lvlText w:val="%1.%2"/>
      <w:lvlJc w:val="left"/>
      <w:pPr>
        <w:ind w:left="501" w:hanging="360"/>
      </w:pPr>
      <w:rPr>
        <w:rFonts w:ascii="Arial" w:hAnsi="Arial" w:cs="Arial" w:hint="default"/>
        <w:sz w:val="22"/>
        <w:szCs w:val="22"/>
      </w:rPr>
    </w:lvl>
    <w:lvl w:ilvl="2">
      <w:start w:val="1"/>
      <w:numFmt w:val="decimal"/>
      <w:lvlText w:val="%1.%2.%3"/>
      <w:lvlJc w:val="left"/>
      <w:pPr>
        <w:ind w:left="1854" w:hanging="720"/>
      </w:pPr>
      <w:rPr>
        <w:rFonts w:hint="default"/>
      </w:rPr>
    </w:lvl>
    <w:lvl w:ilvl="3">
      <w:start w:val="1"/>
      <w:numFmt w:val="decimal"/>
      <w:lvlText w:val="%1.%2.%3.%4"/>
      <w:lvlJc w:val="left"/>
      <w:pPr>
        <w:ind w:left="2982" w:hanging="720"/>
      </w:pPr>
      <w:rPr>
        <w:rFonts w:hint="default"/>
      </w:rPr>
    </w:lvl>
    <w:lvl w:ilvl="4">
      <w:start w:val="1"/>
      <w:numFmt w:val="decimal"/>
      <w:lvlText w:val="%1.%2.%3.%4.%5"/>
      <w:lvlJc w:val="left"/>
      <w:pPr>
        <w:ind w:left="4096" w:hanging="1080"/>
      </w:pPr>
      <w:rPr>
        <w:rFonts w:hint="default"/>
      </w:rPr>
    </w:lvl>
    <w:lvl w:ilvl="5">
      <w:start w:val="1"/>
      <w:numFmt w:val="decimal"/>
      <w:lvlText w:val="%1.%2.%3.%4.%5.%6"/>
      <w:lvlJc w:val="left"/>
      <w:pPr>
        <w:ind w:left="4850" w:hanging="1080"/>
      </w:pPr>
      <w:rPr>
        <w:rFonts w:hint="default"/>
      </w:rPr>
    </w:lvl>
    <w:lvl w:ilvl="6">
      <w:start w:val="1"/>
      <w:numFmt w:val="decimal"/>
      <w:lvlText w:val="%1.%2.%3.%4.%5.%6.%7"/>
      <w:lvlJc w:val="left"/>
      <w:pPr>
        <w:ind w:left="5964" w:hanging="1440"/>
      </w:pPr>
      <w:rPr>
        <w:rFonts w:hint="default"/>
      </w:rPr>
    </w:lvl>
    <w:lvl w:ilvl="7">
      <w:start w:val="1"/>
      <w:numFmt w:val="decimal"/>
      <w:lvlText w:val="%1.%2.%3.%4.%5.%6.%7.%8"/>
      <w:lvlJc w:val="left"/>
      <w:pPr>
        <w:ind w:left="6718" w:hanging="1440"/>
      </w:pPr>
      <w:rPr>
        <w:rFonts w:hint="default"/>
      </w:rPr>
    </w:lvl>
    <w:lvl w:ilvl="8">
      <w:start w:val="1"/>
      <w:numFmt w:val="decimal"/>
      <w:lvlText w:val="%1.%2.%3.%4.%5.%6.%7.%8.%9"/>
      <w:lvlJc w:val="left"/>
      <w:pPr>
        <w:ind w:left="7832" w:hanging="1800"/>
      </w:pPr>
      <w:rPr>
        <w:rFonts w:hint="default"/>
      </w:rPr>
    </w:lvl>
  </w:abstractNum>
  <w:abstractNum w:abstractNumId="30" w15:restartNumberingAfterBreak="0">
    <w:nsid w:val="735271FB"/>
    <w:multiLevelType w:val="multilevel"/>
    <w:tmpl w:val="D788F570"/>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15:restartNumberingAfterBreak="0">
    <w:nsid w:val="73BB1D21"/>
    <w:multiLevelType w:val="hybridMultilevel"/>
    <w:tmpl w:val="2AEACDB8"/>
    <w:lvl w:ilvl="0" w:tplc="0809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9F33A9C"/>
    <w:multiLevelType w:val="multilevel"/>
    <w:tmpl w:val="41E0792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FD1434D"/>
    <w:multiLevelType w:val="hybridMultilevel"/>
    <w:tmpl w:val="4CCE0744"/>
    <w:lvl w:ilvl="0" w:tplc="A0044396">
      <w:numFmt w:val="none"/>
      <w:pStyle w:val="Heading2"/>
      <w:lvlText w:val=""/>
      <w:lvlJc w:val="left"/>
      <w:pPr>
        <w:tabs>
          <w:tab w:val="num" w:pos="360"/>
        </w:tabs>
      </w:pPr>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num w:numId="1" w16cid:durableId="1092630510">
    <w:abstractNumId w:val="2"/>
  </w:num>
  <w:num w:numId="2" w16cid:durableId="646935872">
    <w:abstractNumId w:val="14"/>
  </w:num>
  <w:num w:numId="3" w16cid:durableId="1557743303">
    <w:abstractNumId w:val="3"/>
  </w:num>
  <w:num w:numId="4" w16cid:durableId="287122871">
    <w:abstractNumId w:val="0"/>
  </w:num>
  <w:num w:numId="5" w16cid:durableId="486630128">
    <w:abstractNumId w:val="31"/>
  </w:num>
  <w:num w:numId="6" w16cid:durableId="1484202730">
    <w:abstractNumId w:val="33"/>
  </w:num>
  <w:num w:numId="7" w16cid:durableId="1914777559">
    <w:abstractNumId w:val="4"/>
  </w:num>
  <w:num w:numId="8" w16cid:durableId="872419245">
    <w:abstractNumId w:val="12"/>
  </w:num>
  <w:num w:numId="9" w16cid:durableId="469052538">
    <w:abstractNumId w:val="17"/>
  </w:num>
  <w:num w:numId="10" w16cid:durableId="1509171999">
    <w:abstractNumId w:val="5"/>
  </w:num>
  <w:num w:numId="11" w16cid:durableId="264729999">
    <w:abstractNumId w:val="29"/>
  </w:num>
  <w:num w:numId="12" w16cid:durableId="780956889">
    <w:abstractNumId w:val="8"/>
  </w:num>
  <w:num w:numId="13" w16cid:durableId="1824160166">
    <w:abstractNumId w:val="11"/>
  </w:num>
  <w:num w:numId="14" w16cid:durableId="1173034412">
    <w:abstractNumId w:val="23"/>
  </w:num>
  <w:num w:numId="15" w16cid:durableId="1515414728">
    <w:abstractNumId w:val="15"/>
  </w:num>
  <w:num w:numId="16" w16cid:durableId="1155802436">
    <w:abstractNumId w:val="22"/>
  </w:num>
  <w:num w:numId="17" w16cid:durableId="895507047">
    <w:abstractNumId w:val="7"/>
  </w:num>
  <w:num w:numId="18" w16cid:durableId="1843348770">
    <w:abstractNumId w:val="27"/>
  </w:num>
  <w:num w:numId="19" w16cid:durableId="1855337502">
    <w:abstractNumId w:val="21"/>
  </w:num>
  <w:num w:numId="20" w16cid:durableId="827405744">
    <w:abstractNumId w:val="32"/>
  </w:num>
  <w:num w:numId="21" w16cid:durableId="2110004588">
    <w:abstractNumId w:val="1"/>
  </w:num>
  <w:num w:numId="22" w16cid:durableId="200554868">
    <w:abstractNumId w:val="13"/>
  </w:num>
  <w:num w:numId="23" w16cid:durableId="20281687">
    <w:abstractNumId w:val="10"/>
  </w:num>
  <w:num w:numId="24" w16cid:durableId="1034426684">
    <w:abstractNumId w:val="28"/>
  </w:num>
  <w:num w:numId="25" w16cid:durableId="679546702">
    <w:abstractNumId w:val="18"/>
  </w:num>
  <w:num w:numId="26" w16cid:durableId="1234781423">
    <w:abstractNumId w:val="26"/>
  </w:num>
  <w:num w:numId="27" w16cid:durableId="921570547">
    <w:abstractNumId w:val="9"/>
  </w:num>
  <w:num w:numId="28" w16cid:durableId="260113374">
    <w:abstractNumId w:val="19"/>
  </w:num>
  <w:num w:numId="29" w16cid:durableId="1275405388">
    <w:abstractNumId w:val="20"/>
  </w:num>
  <w:num w:numId="30" w16cid:durableId="1933735611">
    <w:abstractNumId w:val="24"/>
  </w:num>
  <w:num w:numId="31" w16cid:durableId="1449425014">
    <w:abstractNumId w:val="30"/>
  </w:num>
  <w:num w:numId="32" w16cid:durableId="1017998231">
    <w:abstractNumId w:val="16"/>
  </w:num>
  <w:num w:numId="33" w16cid:durableId="2067102087">
    <w:abstractNumId w:val="6"/>
  </w:num>
  <w:num w:numId="34" w16cid:durableId="1553423518">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048"/>
    <w:rsid w:val="000005D3"/>
    <w:rsid w:val="00001136"/>
    <w:rsid w:val="00001C37"/>
    <w:rsid w:val="00001E30"/>
    <w:rsid w:val="000026CB"/>
    <w:rsid w:val="000028DD"/>
    <w:rsid w:val="000033FA"/>
    <w:rsid w:val="00003FB4"/>
    <w:rsid w:val="000043AC"/>
    <w:rsid w:val="00004A33"/>
    <w:rsid w:val="00005242"/>
    <w:rsid w:val="00005492"/>
    <w:rsid w:val="0000566B"/>
    <w:rsid w:val="0000715C"/>
    <w:rsid w:val="00007607"/>
    <w:rsid w:val="00007BEB"/>
    <w:rsid w:val="00010576"/>
    <w:rsid w:val="00010886"/>
    <w:rsid w:val="00010D04"/>
    <w:rsid w:val="000111FD"/>
    <w:rsid w:val="00011229"/>
    <w:rsid w:val="00011333"/>
    <w:rsid w:val="0001136F"/>
    <w:rsid w:val="00012795"/>
    <w:rsid w:val="00012ACF"/>
    <w:rsid w:val="00012F5F"/>
    <w:rsid w:val="00012FE9"/>
    <w:rsid w:val="000131D1"/>
    <w:rsid w:val="00013F4C"/>
    <w:rsid w:val="000140FE"/>
    <w:rsid w:val="000147DC"/>
    <w:rsid w:val="00014944"/>
    <w:rsid w:val="00014B55"/>
    <w:rsid w:val="00014CAB"/>
    <w:rsid w:val="00015908"/>
    <w:rsid w:val="00016849"/>
    <w:rsid w:val="00016BBB"/>
    <w:rsid w:val="000176C6"/>
    <w:rsid w:val="00017DD1"/>
    <w:rsid w:val="00021066"/>
    <w:rsid w:val="00021285"/>
    <w:rsid w:val="000213E0"/>
    <w:rsid w:val="00021912"/>
    <w:rsid w:val="00021F8B"/>
    <w:rsid w:val="0002239C"/>
    <w:rsid w:val="000225D4"/>
    <w:rsid w:val="000226B8"/>
    <w:rsid w:val="000226C9"/>
    <w:rsid w:val="00022903"/>
    <w:rsid w:val="00023D5A"/>
    <w:rsid w:val="00024150"/>
    <w:rsid w:val="000243ED"/>
    <w:rsid w:val="00024446"/>
    <w:rsid w:val="00024BAB"/>
    <w:rsid w:val="0002555F"/>
    <w:rsid w:val="0002591D"/>
    <w:rsid w:val="000274E7"/>
    <w:rsid w:val="00027AA8"/>
    <w:rsid w:val="00027BCA"/>
    <w:rsid w:val="000302B1"/>
    <w:rsid w:val="0003038A"/>
    <w:rsid w:val="00032018"/>
    <w:rsid w:val="00032298"/>
    <w:rsid w:val="00033720"/>
    <w:rsid w:val="0003432C"/>
    <w:rsid w:val="00034634"/>
    <w:rsid w:val="00035A17"/>
    <w:rsid w:val="00035A44"/>
    <w:rsid w:val="000368B4"/>
    <w:rsid w:val="00037468"/>
    <w:rsid w:val="00037DE5"/>
    <w:rsid w:val="0004054C"/>
    <w:rsid w:val="0004072B"/>
    <w:rsid w:val="00040DCF"/>
    <w:rsid w:val="00041C22"/>
    <w:rsid w:val="00043523"/>
    <w:rsid w:val="000435C4"/>
    <w:rsid w:val="00043E93"/>
    <w:rsid w:val="00044AF8"/>
    <w:rsid w:val="000452AB"/>
    <w:rsid w:val="00045E47"/>
    <w:rsid w:val="000460D5"/>
    <w:rsid w:val="00047063"/>
    <w:rsid w:val="00050794"/>
    <w:rsid w:val="0005098F"/>
    <w:rsid w:val="000515BB"/>
    <w:rsid w:val="00051E1A"/>
    <w:rsid w:val="00052A45"/>
    <w:rsid w:val="00052E94"/>
    <w:rsid w:val="000532B8"/>
    <w:rsid w:val="00053313"/>
    <w:rsid w:val="00053CC3"/>
    <w:rsid w:val="000546A0"/>
    <w:rsid w:val="00055BB8"/>
    <w:rsid w:val="00055BB9"/>
    <w:rsid w:val="00055F6B"/>
    <w:rsid w:val="00057D14"/>
    <w:rsid w:val="0006003C"/>
    <w:rsid w:val="0006012E"/>
    <w:rsid w:val="000602CA"/>
    <w:rsid w:val="000610CD"/>
    <w:rsid w:val="00061994"/>
    <w:rsid w:val="00062165"/>
    <w:rsid w:val="0006223A"/>
    <w:rsid w:val="00063345"/>
    <w:rsid w:val="0006359A"/>
    <w:rsid w:val="000635A2"/>
    <w:rsid w:val="00063694"/>
    <w:rsid w:val="0006375E"/>
    <w:rsid w:val="000640F2"/>
    <w:rsid w:val="000643BE"/>
    <w:rsid w:val="000647BB"/>
    <w:rsid w:val="00064A97"/>
    <w:rsid w:val="000666DB"/>
    <w:rsid w:val="00066C4B"/>
    <w:rsid w:val="00066F0F"/>
    <w:rsid w:val="00067B60"/>
    <w:rsid w:val="00067DEF"/>
    <w:rsid w:val="00067EF7"/>
    <w:rsid w:val="00067FC6"/>
    <w:rsid w:val="000705D9"/>
    <w:rsid w:val="000708C6"/>
    <w:rsid w:val="0007206A"/>
    <w:rsid w:val="000734CF"/>
    <w:rsid w:val="00073BC4"/>
    <w:rsid w:val="000744E1"/>
    <w:rsid w:val="00074E5F"/>
    <w:rsid w:val="00074EFB"/>
    <w:rsid w:val="00075208"/>
    <w:rsid w:val="000757FF"/>
    <w:rsid w:val="00075C56"/>
    <w:rsid w:val="000762EF"/>
    <w:rsid w:val="000767BE"/>
    <w:rsid w:val="00077203"/>
    <w:rsid w:val="000800D6"/>
    <w:rsid w:val="0008134A"/>
    <w:rsid w:val="00081AA6"/>
    <w:rsid w:val="00081BEA"/>
    <w:rsid w:val="000824EB"/>
    <w:rsid w:val="000827B0"/>
    <w:rsid w:val="00084550"/>
    <w:rsid w:val="00084755"/>
    <w:rsid w:val="00084DC0"/>
    <w:rsid w:val="00085036"/>
    <w:rsid w:val="00085496"/>
    <w:rsid w:val="00085B28"/>
    <w:rsid w:val="000863E7"/>
    <w:rsid w:val="000867F3"/>
    <w:rsid w:val="000870D8"/>
    <w:rsid w:val="00087CBB"/>
    <w:rsid w:val="00087E24"/>
    <w:rsid w:val="00087FA6"/>
    <w:rsid w:val="0009001F"/>
    <w:rsid w:val="000900E9"/>
    <w:rsid w:val="00091726"/>
    <w:rsid w:val="000928A3"/>
    <w:rsid w:val="00093787"/>
    <w:rsid w:val="00094522"/>
    <w:rsid w:val="00094FB1"/>
    <w:rsid w:val="00096746"/>
    <w:rsid w:val="00097B82"/>
    <w:rsid w:val="00097D71"/>
    <w:rsid w:val="000A0E45"/>
    <w:rsid w:val="000A164A"/>
    <w:rsid w:val="000A228E"/>
    <w:rsid w:val="000A2469"/>
    <w:rsid w:val="000A3E38"/>
    <w:rsid w:val="000A5222"/>
    <w:rsid w:val="000A5281"/>
    <w:rsid w:val="000A529B"/>
    <w:rsid w:val="000A55F2"/>
    <w:rsid w:val="000A5F3E"/>
    <w:rsid w:val="000A6CD4"/>
    <w:rsid w:val="000A707D"/>
    <w:rsid w:val="000A739A"/>
    <w:rsid w:val="000B0A2D"/>
    <w:rsid w:val="000B1641"/>
    <w:rsid w:val="000B200D"/>
    <w:rsid w:val="000B22CE"/>
    <w:rsid w:val="000B23BF"/>
    <w:rsid w:val="000B262D"/>
    <w:rsid w:val="000B2F28"/>
    <w:rsid w:val="000B33E9"/>
    <w:rsid w:val="000B3AFE"/>
    <w:rsid w:val="000B526A"/>
    <w:rsid w:val="000B5414"/>
    <w:rsid w:val="000B58D5"/>
    <w:rsid w:val="000B61AF"/>
    <w:rsid w:val="000B6910"/>
    <w:rsid w:val="000B6DEC"/>
    <w:rsid w:val="000B7852"/>
    <w:rsid w:val="000C0BD2"/>
    <w:rsid w:val="000C1765"/>
    <w:rsid w:val="000C21EE"/>
    <w:rsid w:val="000C232B"/>
    <w:rsid w:val="000C2711"/>
    <w:rsid w:val="000C29D9"/>
    <w:rsid w:val="000C311B"/>
    <w:rsid w:val="000C3596"/>
    <w:rsid w:val="000C38D9"/>
    <w:rsid w:val="000C3ACC"/>
    <w:rsid w:val="000C4DF5"/>
    <w:rsid w:val="000C51DF"/>
    <w:rsid w:val="000C591E"/>
    <w:rsid w:val="000C7523"/>
    <w:rsid w:val="000D1768"/>
    <w:rsid w:val="000D1ED9"/>
    <w:rsid w:val="000D254D"/>
    <w:rsid w:val="000D2657"/>
    <w:rsid w:val="000D2A78"/>
    <w:rsid w:val="000D2FB4"/>
    <w:rsid w:val="000D41EF"/>
    <w:rsid w:val="000D4A18"/>
    <w:rsid w:val="000D4BFB"/>
    <w:rsid w:val="000D5B57"/>
    <w:rsid w:val="000D62D5"/>
    <w:rsid w:val="000E0353"/>
    <w:rsid w:val="000E0403"/>
    <w:rsid w:val="000E070A"/>
    <w:rsid w:val="000E081E"/>
    <w:rsid w:val="000E117F"/>
    <w:rsid w:val="000E12CC"/>
    <w:rsid w:val="000E1CF0"/>
    <w:rsid w:val="000E21D0"/>
    <w:rsid w:val="000E34CB"/>
    <w:rsid w:val="000E35A5"/>
    <w:rsid w:val="000E3631"/>
    <w:rsid w:val="000E3ADD"/>
    <w:rsid w:val="000E3F1A"/>
    <w:rsid w:val="000E4993"/>
    <w:rsid w:val="000E562A"/>
    <w:rsid w:val="000E5C41"/>
    <w:rsid w:val="000E6554"/>
    <w:rsid w:val="000E65F0"/>
    <w:rsid w:val="000E6C20"/>
    <w:rsid w:val="000E7896"/>
    <w:rsid w:val="000E7DF4"/>
    <w:rsid w:val="000F0E7E"/>
    <w:rsid w:val="000F1223"/>
    <w:rsid w:val="000F202C"/>
    <w:rsid w:val="000F2C7C"/>
    <w:rsid w:val="000F3CD6"/>
    <w:rsid w:val="000F4147"/>
    <w:rsid w:val="000F4228"/>
    <w:rsid w:val="000F4B0D"/>
    <w:rsid w:val="000F50E7"/>
    <w:rsid w:val="000F5194"/>
    <w:rsid w:val="000F5A6E"/>
    <w:rsid w:val="000F5F57"/>
    <w:rsid w:val="000F61C5"/>
    <w:rsid w:val="000F65BD"/>
    <w:rsid w:val="000F6C62"/>
    <w:rsid w:val="000F762C"/>
    <w:rsid w:val="000F7802"/>
    <w:rsid w:val="000F7B17"/>
    <w:rsid w:val="000F7DDA"/>
    <w:rsid w:val="00100727"/>
    <w:rsid w:val="0010115D"/>
    <w:rsid w:val="0010159A"/>
    <w:rsid w:val="0010159F"/>
    <w:rsid w:val="00102321"/>
    <w:rsid w:val="001029B4"/>
    <w:rsid w:val="00103417"/>
    <w:rsid w:val="00103563"/>
    <w:rsid w:val="001041DA"/>
    <w:rsid w:val="00104A64"/>
    <w:rsid w:val="0010566F"/>
    <w:rsid w:val="001058DE"/>
    <w:rsid w:val="00105BCE"/>
    <w:rsid w:val="00105D04"/>
    <w:rsid w:val="00106476"/>
    <w:rsid w:val="001078DF"/>
    <w:rsid w:val="001100CD"/>
    <w:rsid w:val="00110627"/>
    <w:rsid w:val="00111AC0"/>
    <w:rsid w:val="0011245B"/>
    <w:rsid w:val="00113571"/>
    <w:rsid w:val="00113E44"/>
    <w:rsid w:val="00114D32"/>
    <w:rsid w:val="00114EFD"/>
    <w:rsid w:val="00115022"/>
    <w:rsid w:val="0011505D"/>
    <w:rsid w:val="001159E0"/>
    <w:rsid w:val="00115EB8"/>
    <w:rsid w:val="001162FB"/>
    <w:rsid w:val="001170E2"/>
    <w:rsid w:val="001174BE"/>
    <w:rsid w:val="00120369"/>
    <w:rsid w:val="0012073A"/>
    <w:rsid w:val="0012074E"/>
    <w:rsid w:val="0012081F"/>
    <w:rsid w:val="00121047"/>
    <w:rsid w:val="00121352"/>
    <w:rsid w:val="00121D0C"/>
    <w:rsid w:val="00122630"/>
    <w:rsid w:val="00123458"/>
    <w:rsid w:val="00123D93"/>
    <w:rsid w:val="00124220"/>
    <w:rsid w:val="0012491C"/>
    <w:rsid w:val="00124AA0"/>
    <w:rsid w:val="00125E0F"/>
    <w:rsid w:val="00125F12"/>
    <w:rsid w:val="00126499"/>
    <w:rsid w:val="00126662"/>
    <w:rsid w:val="0012715B"/>
    <w:rsid w:val="001300CF"/>
    <w:rsid w:val="00130CEA"/>
    <w:rsid w:val="00131131"/>
    <w:rsid w:val="00132B29"/>
    <w:rsid w:val="00132BF5"/>
    <w:rsid w:val="00133BBB"/>
    <w:rsid w:val="00134750"/>
    <w:rsid w:val="0013518F"/>
    <w:rsid w:val="001359B8"/>
    <w:rsid w:val="00135E57"/>
    <w:rsid w:val="00136135"/>
    <w:rsid w:val="00136A16"/>
    <w:rsid w:val="00136BAF"/>
    <w:rsid w:val="00136FE1"/>
    <w:rsid w:val="0013709E"/>
    <w:rsid w:val="00137EDA"/>
    <w:rsid w:val="0014110B"/>
    <w:rsid w:val="0014203E"/>
    <w:rsid w:val="0014297D"/>
    <w:rsid w:val="00143BFF"/>
    <w:rsid w:val="00145803"/>
    <w:rsid w:val="001458AE"/>
    <w:rsid w:val="00146A0D"/>
    <w:rsid w:val="00146A7B"/>
    <w:rsid w:val="00146FB1"/>
    <w:rsid w:val="00147603"/>
    <w:rsid w:val="00150602"/>
    <w:rsid w:val="001509A2"/>
    <w:rsid w:val="001510B5"/>
    <w:rsid w:val="0015173D"/>
    <w:rsid w:val="00151B70"/>
    <w:rsid w:val="00151BDE"/>
    <w:rsid w:val="00153B77"/>
    <w:rsid w:val="00153E32"/>
    <w:rsid w:val="00154004"/>
    <w:rsid w:val="00154895"/>
    <w:rsid w:val="00154995"/>
    <w:rsid w:val="00156723"/>
    <w:rsid w:val="00157E6E"/>
    <w:rsid w:val="00157E91"/>
    <w:rsid w:val="00160787"/>
    <w:rsid w:val="00161344"/>
    <w:rsid w:val="00161AE9"/>
    <w:rsid w:val="00161E97"/>
    <w:rsid w:val="00161F91"/>
    <w:rsid w:val="00162398"/>
    <w:rsid w:val="001624BB"/>
    <w:rsid w:val="00162ABF"/>
    <w:rsid w:val="00162C0C"/>
    <w:rsid w:val="00163EEE"/>
    <w:rsid w:val="00164241"/>
    <w:rsid w:val="001643BD"/>
    <w:rsid w:val="00165C51"/>
    <w:rsid w:val="00165FB7"/>
    <w:rsid w:val="001660E6"/>
    <w:rsid w:val="00167946"/>
    <w:rsid w:val="00172E44"/>
    <w:rsid w:val="00173B98"/>
    <w:rsid w:val="00174391"/>
    <w:rsid w:val="00174EBF"/>
    <w:rsid w:val="00174F49"/>
    <w:rsid w:val="00175303"/>
    <w:rsid w:val="001756E5"/>
    <w:rsid w:val="00175F0C"/>
    <w:rsid w:val="00176E68"/>
    <w:rsid w:val="00177F72"/>
    <w:rsid w:val="00180173"/>
    <w:rsid w:val="001810D3"/>
    <w:rsid w:val="001812F6"/>
    <w:rsid w:val="0018182C"/>
    <w:rsid w:val="001820D2"/>
    <w:rsid w:val="00182C18"/>
    <w:rsid w:val="00183977"/>
    <w:rsid w:val="00183D46"/>
    <w:rsid w:val="001840B8"/>
    <w:rsid w:val="001842C4"/>
    <w:rsid w:val="0018438A"/>
    <w:rsid w:val="0018460B"/>
    <w:rsid w:val="001849FB"/>
    <w:rsid w:val="00184D5F"/>
    <w:rsid w:val="00185E9D"/>
    <w:rsid w:val="0018638E"/>
    <w:rsid w:val="0018735B"/>
    <w:rsid w:val="00187CE1"/>
    <w:rsid w:val="001900C2"/>
    <w:rsid w:val="00191251"/>
    <w:rsid w:val="00191C86"/>
    <w:rsid w:val="001928AA"/>
    <w:rsid w:val="00192CA9"/>
    <w:rsid w:val="00193085"/>
    <w:rsid w:val="001933FD"/>
    <w:rsid w:val="0019389D"/>
    <w:rsid w:val="00194A01"/>
    <w:rsid w:val="00194D13"/>
    <w:rsid w:val="00194F95"/>
    <w:rsid w:val="0019684C"/>
    <w:rsid w:val="00197A8C"/>
    <w:rsid w:val="001A338A"/>
    <w:rsid w:val="001A3B53"/>
    <w:rsid w:val="001A46D6"/>
    <w:rsid w:val="001A4E98"/>
    <w:rsid w:val="001A4F2E"/>
    <w:rsid w:val="001A555A"/>
    <w:rsid w:val="001A5E2D"/>
    <w:rsid w:val="001A5EE0"/>
    <w:rsid w:val="001A705F"/>
    <w:rsid w:val="001A7999"/>
    <w:rsid w:val="001A7A1F"/>
    <w:rsid w:val="001B0562"/>
    <w:rsid w:val="001B092A"/>
    <w:rsid w:val="001B272D"/>
    <w:rsid w:val="001B2D6E"/>
    <w:rsid w:val="001B302F"/>
    <w:rsid w:val="001B34AB"/>
    <w:rsid w:val="001B4021"/>
    <w:rsid w:val="001B45E9"/>
    <w:rsid w:val="001B4845"/>
    <w:rsid w:val="001B4BCB"/>
    <w:rsid w:val="001B4CD7"/>
    <w:rsid w:val="001B4F07"/>
    <w:rsid w:val="001B5112"/>
    <w:rsid w:val="001B610F"/>
    <w:rsid w:val="001B6E7F"/>
    <w:rsid w:val="001B7079"/>
    <w:rsid w:val="001B724C"/>
    <w:rsid w:val="001B7E95"/>
    <w:rsid w:val="001C0895"/>
    <w:rsid w:val="001C0B00"/>
    <w:rsid w:val="001C2252"/>
    <w:rsid w:val="001C2A7F"/>
    <w:rsid w:val="001C304B"/>
    <w:rsid w:val="001C38A0"/>
    <w:rsid w:val="001C414E"/>
    <w:rsid w:val="001C41ED"/>
    <w:rsid w:val="001C44FE"/>
    <w:rsid w:val="001C551F"/>
    <w:rsid w:val="001C5BAC"/>
    <w:rsid w:val="001C66A2"/>
    <w:rsid w:val="001C6806"/>
    <w:rsid w:val="001C712C"/>
    <w:rsid w:val="001C7530"/>
    <w:rsid w:val="001C7D27"/>
    <w:rsid w:val="001D0190"/>
    <w:rsid w:val="001D08FC"/>
    <w:rsid w:val="001D0D12"/>
    <w:rsid w:val="001D209E"/>
    <w:rsid w:val="001D30A1"/>
    <w:rsid w:val="001D46C3"/>
    <w:rsid w:val="001D4829"/>
    <w:rsid w:val="001D5C86"/>
    <w:rsid w:val="001D6286"/>
    <w:rsid w:val="001D6AE1"/>
    <w:rsid w:val="001D6B18"/>
    <w:rsid w:val="001D6C16"/>
    <w:rsid w:val="001E03AC"/>
    <w:rsid w:val="001E1198"/>
    <w:rsid w:val="001E29FC"/>
    <w:rsid w:val="001E3DB8"/>
    <w:rsid w:val="001E41FD"/>
    <w:rsid w:val="001E43B5"/>
    <w:rsid w:val="001E4709"/>
    <w:rsid w:val="001E4D1E"/>
    <w:rsid w:val="001E524F"/>
    <w:rsid w:val="001E5A7A"/>
    <w:rsid w:val="001E6185"/>
    <w:rsid w:val="001E6F69"/>
    <w:rsid w:val="001E7C74"/>
    <w:rsid w:val="001F00B3"/>
    <w:rsid w:val="001F0EC6"/>
    <w:rsid w:val="001F2324"/>
    <w:rsid w:val="001F2CE2"/>
    <w:rsid w:val="001F333D"/>
    <w:rsid w:val="001F39BC"/>
    <w:rsid w:val="001F65AD"/>
    <w:rsid w:val="001F662B"/>
    <w:rsid w:val="001F6B09"/>
    <w:rsid w:val="001F7DC8"/>
    <w:rsid w:val="002004CC"/>
    <w:rsid w:val="00200C0D"/>
    <w:rsid w:val="00200C58"/>
    <w:rsid w:val="0020142E"/>
    <w:rsid w:val="00202057"/>
    <w:rsid w:val="002028FC"/>
    <w:rsid w:val="00202B43"/>
    <w:rsid w:val="00202EBE"/>
    <w:rsid w:val="0020338E"/>
    <w:rsid w:val="00204A54"/>
    <w:rsid w:val="00204CB1"/>
    <w:rsid w:val="00205784"/>
    <w:rsid w:val="00206519"/>
    <w:rsid w:val="00206804"/>
    <w:rsid w:val="002069E2"/>
    <w:rsid w:val="00207478"/>
    <w:rsid w:val="002078B8"/>
    <w:rsid w:val="0020D133"/>
    <w:rsid w:val="00210334"/>
    <w:rsid w:val="00210F1E"/>
    <w:rsid w:val="0021130E"/>
    <w:rsid w:val="00211F08"/>
    <w:rsid w:val="0021204C"/>
    <w:rsid w:val="00212907"/>
    <w:rsid w:val="002136DB"/>
    <w:rsid w:val="00213866"/>
    <w:rsid w:val="0021457B"/>
    <w:rsid w:val="00215146"/>
    <w:rsid w:val="002151DB"/>
    <w:rsid w:val="00215455"/>
    <w:rsid w:val="0021693E"/>
    <w:rsid w:val="00217A8C"/>
    <w:rsid w:val="0022089A"/>
    <w:rsid w:val="00220D65"/>
    <w:rsid w:val="002214B7"/>
    <w:rsid w:val="002216DC"/>
    <w:rsid w:val="00223411"/>
    <w:rsid w:val="002237F0"/>
    <w:rsid w:val="002238D1"/>
    <w:rsid w:val="00223E1D"/>
    <w:rsid w:val="00223E22"/>
    <w:rsid w:val="002243A5"/>
    <w:rsid w:val="00224B8E"/>
    <w:rsid w:val="002251E9"/>
    <w:rsid w:val="002265F6"/>
    <w:rsid w:val="00226DE2"/>
    <w:rsid w:val="00227357"/>
    <w:rsid w:val="00227736"/>
    <w:rsid w:val="002279BD"/>
    <w:rsid w:val="0023007B"/>
    <w:rsid w:val="00230388"/>
    <w:rsid w:val="00230F4C"/>
    <w:rsid w:val="00231752"/>
    <w:rsid w:val="00232382"/>
    <w:rsid w:val="002327F3"/>
    <w:rsid w:val="00232B73"/>
    <w:rsid w:val="002339D7"/>
    <w:rsid w:val="00233C0B"/>
    <w:rsid w:val="002354FD"/>
    <w:rsid w:val="00235710"/>
    <w:rsid w:val="002358A2"/>
    <w:rsid w:val="002366AA"/>
    <w:rsid w:val="00236A9B"/>
    <w:rsid w:val="00237097"/>
    <w:rsid w:val="00240176"/>
    <w:rsid w:val="00240180"/>
    <w:rsid w:val="00240424"/>
    <w:rsid w:val="00240507"/>
    <w:rsid w:val="00240F04"/>
    <w:rsid w:val="00241735"/>
    <w:rsid w:val="002424FA"/>
    <w:rsid w:val="0024274B"/>
    <w:rsid w:val="00242B7C"/>
    <w:rsid w:val="00243B9F"/>
    <w:rsid w:val="00244A66"/>
    <w:rsid w:val="002451BA"/>
    <w:rsid w:val="0024666F"/>
    <w:rsid w:val="00246683"/>
    <w:rsid w:val="00246B53"/>
    <w:rsid w:val="0024718B"/>
    <w:rsid w:val="00247C68"/>
    <w:rsid w:val="00247E48"/>
    <w:rsid w:val="0025011B"/>
    <w:rsid w:val="002504B8"/>
    <w:rsid w:val="00250787"/>
    <w:rsid w:val="00250AEE"/>
    <w:rsid w:val="00250BE3"/>
    <w:rsid w:val="00251C37"/>
    <w:rsid w:val="00251D44"/>
    <w:rsid w:val="00252B2C"/>
    <w:rsid w:val="0025403E"/>
    <w:rsid w:val="00254378"/>
    <w:rsid w:val="0025510F"/>
    <w:rsid w:val="002554BB"/>
    <w:rsid w:val="00256428"/>
    <w:rsid w:val="002567F8"/>
    <w:rsid w:val="00257E98"/>
    <w:rsid w:val="0026001B"/>
    <w:rsid w:val="00260109"/>
    <w:rsid w:val="00260389"/>
    <w:rsid w:val="002619C6"/>
    <w:rsid w:val="0026256A"/>
    <w:rsid w:val="002626F0"/>
    <w:rsid w:val="002654CC"/>
    <w:rsid w:val="00266EB2"/>
    <w:rsid w:val="00266F99"/>
    <w:rsid w:val="00267036"/>
    <w:rsid w:val="00267772"/>
    <w:rsid w:val="00270A8B"/>
    <w:rsid w:val="00270B7F"/>
    <w:rsid w:val="00270B90"/>
    <w:rsid w:val="00271B42"/>
    <w:rsid w:val="00271B7B"/>
    <w:rsid w:val="002723AA"/>
    <w:rsid w:val="0027328F"/>
    <w:rsid w:val="002732D8"/>
    <w:rsid w:val="0027663E"/>
    <w:rsid w:val="00277B20"/>
    <w:rsid w:val="00280427"/>
    <w:rsid w:val="00280965"/>
    <w:rsid w:val="002811D0"/>
    <w:rsid w:val="002813AB"/>
    <w:rsid w:val="00281715"/>
    <w:rsid w:val="00281CB1"/>
    <w:rsid w:val="00281CDB"/>
    <w:rsid w:val="00281E6F"/>
    <w:rsid w:val="00283371"/>
    <w:rsid w:val="00283AD6"/>
    <w:rsid w:val="00283D2D"/>
    <w:rsid w:val="00283E26"/>
    <w:rsid w:val="00283F4A"/>
    <w:rsid w:val="002846C0"/>
    <w:rsid w:val="00285116"/>
    <w:rsid w:val="002861CE"/>
    <w:rsid w:val="00286F7D"/>
    <w:rsid w:val="0028787A"/>
    <w:rsid w:val="00287A91"/>
    <w:rsid w:val="002911D0"/>
    <w:rsid w:val="00291387"/>
    <w:rsid w:val="00291420"/>
    <w:rsid w:val="0029182E"/>
    <w:rsid w:val="002918A6"/>
    <w:rsid w:val="00291D6E"/>
    <w:rsid w:val="00291E54"/>
    <w:rsid w:val="00292457"/>
    <w:rsid w:val="00292BC8"/>
    <w:rsid w:val="00292D84"/>
    <w:rsid w:val="00292D9C"/>
    <w:rsid w:val="00294118"/>
    <w:rsid w:val="00294121"/>
    <w:rsid w:val="002944E2"/>
    <w:rsid w:val="00295285"/>
    <w:rsid w:val="00295EBC"/>
    <w:rsid w:val="00295EFD"/>
    <w:rsid w:val="002966C3"/>
    <w:rsid w:val="002975B7"/>
    <w:rsid w:val="00297851"/>
    <w:rsid w:val="002A07FB"/>
    <w:rsid w:val="002A0C1A"/>
    <w:rsid w:val="002A0D20"/>
    <w:rsid w:val="002A18AD"/>
    <w:rsid w:val="002A27C1"/>
    <w:rsid w:val="002A2B2A"/>
    <w:rsid w:val="002A2DA5"/>
    <w:rsid w:val="002A3018"/>
    <w:rsid w:val="002A33E2"/>
    <w:rsid w:val="002A3C1E"/>
    <w:rsid w:val="002A4167"/>
    <w:rsid w:val="002A4181"/>
    <w:rsid w:val="002A4766"/>
    <w:rsid w:val="002A47FE"/>
    <w:rsid w:val="002A5F92"/>
    <w:rsid w:val="002A63F3"/>
    <w:rsid w:val="002A7707"/>
    <w:rsid w:val="002A7872"/>
    <w:rsid w:val="002B140B"/>
    <w:rsid w:val="002B149A"/>
    <w:rsid w:val="002B19B7"/>
    <w:rsid w:val="002B24B4"/>
    <w:rsid w:val="002B27C8"/>
    <w:rsid w:val="002B3EB1"/>
    <w:rsid w:val="002B422F"/>
    <w:rsid w:val="002B450F"/>
    <w:rsid w:val="002B4C20"/>
    <w:rsid w:val="002B5B85"/>
    <w:rsid w:val="002B7237"/>
    <w:rsid w:val="002B723D"/>
    <w:rsid w:val="002B79A1"/>
    <w:rsid w:val="002B7CB9"/>
    <w:rsid w:val="002C014F"/>
    <w:rsid w:val="002C17CB"/>
    <w:rsid w:val="002C18DE"/>
    <w:rsid w:val="002C1D90"/>
    <w:rsid w:val="002C2932"/>
    <w:rsid w:val="002C2FCD"/>
    <w:rsid w:val="002C31BF"/>
    <w:rsid w:val="002C36B1"/>
    <w:rsid w:val="002C3812"/>
    <w:rsid w:val="002C435E"/>
    <w:rsid w:val="002C4419"/>
    <w:rsid w:val="002C4A68"/>
    <w:rsid w:val="002C5879"/>
    <w:rsid w:val="002C5C00"/>
    <w:rsid w:val="002C6518"/>
    <w:rsid w:val="002C6A0B"/>
    <w:rsid w:val="002C7628"/>
    <w:rsid w:val="002C7832"/>
    <w:rsid w:val="002C7B44"/>
    <w:rsid w:val="002C7EFF"/>
    <w:rsid w:val="002D0223"/>
    <w:rsid w:val="002D0FBB"/>
    <w:rsid w:val="002D191F"/>
    <w:rsid w:val="002D1D78"/>
    <w:rsid w:val="002D324B"/>
    <w:rsid w:val="002D3297"/>
    <w:rsid w:val="002D5010"/>
    <w:rsid w:val="002D53D8"/>
    <w:rsid w:val="002D56D7"/>
    <w:rsid w:val="002D59B2"/>
    <w:rsid w:val="002D5C45"/>
    <w:rsid w:val="002D6B88"/>
    <w:rsid w:val="002D7198"/>
    <w:rsid w:val="002E394A"/>
    <w:rsid w:val="002E406F"/>
    <w:rsid w:val="002E4299"/>
    <w:rsid w:val="002E42C8"/>
    <w:rsid w:val="002E484C"/>
    <w:rsid w:val="002E57A4"/>
    <w:rsid w:val="002E5FB9"/>
    <w:rsid w:val="002E6314"/>
    <w:rsid w:val="002E6CF7"/>
    <w:rsid w:val="002E6FED"/>
    <w:rsid w:val="002E70EE"/>
    <w:rsid w:val="002E77A2"/>
    <w:rsid w:val="002E7C8F"/>
    <w:rsid w:val="002E7D5C"/>
    <w:rsid w:val="002F0580"/>
    <w:rsid w:val="002F1009"/>
    <w:rsid w:val="002F10FC"/>
    <w:rsid w:val="002F1286"/>
    <w:rsid w:val="002F33B1"/>
    <w:rsid w:val="002F3415"/>
    <w:rsid w:val="002F367E"/>
    <w:rsid w:val="002F3801"/>
    <w:rsid w:val="002F3825"/>
    <w:rsid w:val="002F452B"/>
    <w:rsid w:val="002F570D"/>
    <w:rsid w:val="002F5729"/>
    <w:rsid w:val="002F67EB"/>
    <w:rsid w:val="002F69B0"/>
    <w:rsid w:val="002F6FF2"/>
    <w:rsid w:val="002F78F4"/>
    <w:rsid w:val="00300A2B"/>
    <w:rsid w:val="00301880"/>
    <w:rsid w:val="00301FFF"/>
    <w:rsid w:val="00302485"/>
    <w:rsid w:val="00302505"/>
    <w:rsid w:val="00302AAF"/>
    <w:rsid w:val="00304295"/>
    <w:rsid w:val="003050C2"/>
    <w:rsid w:val="0030591A"/>
    <w:rsid w:val="00305D36"/>
    <w:rsid w:val="00305F9D"/>
    <w:rsid w:val="00306E61"/>
    <w:rsid w:val="003106C9"/>
    <w:rsid w:val="0031120B"/>
    <w:rsid w:val="00311926"/>
    <w:rsid w:val="00311D0B"/>
    <w:rsid w:val="00311EA9"/>
    <w:rsid w:val="00312705"/>
    <w:rsid w:val="00314721"/>
    <w:rsid w:val="003155E2"/>
    <w:rsid w:val="00315AEF"/>
    <w:rsid w:val="00315F04"/>
    <w:rsid w:val="00316198"/>
    <w:rsid w:val="00316C3A"/>
    <w:rsid w:val="00316DFD"/>
    <w:rsid w:val="00317169"/>
    <w:rsid w:val="003176FE"/>
    <w:rsid w:val="0031782A"/>
    <w:rsid w:val="00317854"/>
    <w:rsid w:val="00320143"/>
    <w:rsid w:val="0032085E"/>
    <w:rsid w:val="00320998"/>
    <w:rsid w:val="003216B5"/>
    <w:rsid w:val="00321F89"/>
    <w:rsid w:val="003220F7"/>
    <w:rsid w:val="00322388"/>
    <w:rsid w:val="003229C2"/>
    <w:rsid w:val="003232D6"/>
    <w:rsid w:val="003233A6"/>
    <w:rsid w:val="00323FB5"/>
    <w:rsid w:val="00324A13"/>
    <w:rsid w:val="003250FF"/>
    <w:rsid w:val="003251FB"/>
    <w:rsid w:val="00327413"/>
    <w:rsid w:val="00330A69"/>
    <w:rsid w:val="00330D1D"/>
    <w:rsid w:val="00331387"/>
    <w:rsid w:val="00331488"/>
    <w:rsid w:val="00331522"/>
    <w:rsid w:val="0033267F"/>
    <w:rsid w:val="00332EA9"/>
    <w:rsid w:val="0033300E"/>
    <w:rsid w:val="00333B29"/>
    <w:rsid w:val="00334762"/>
    <w:rsid w:val="00334F4D"/>
    <w:rsid w:val="00334FC5"/>
    <w:rsid w:val="00335AAF"/>
    <w:rsid w:val="00335D42"/>
    <w:rsid w:val="003364D0"/>
    <w:rsid w:val="003378E6"/>
    <w:rsid w:val="00337CE7"/>
    <w:rsid w:val="003405CF"/>
    <w:rsid w:val="00343002"/>
    <w:rsid w:val="00343430"/>
    <w:rsid w:val="00343603"/>
    <w:rsid w:val="00343675"/>
    <w:rsid w:val="003438F8"/>
    <w:rsid w:val="00344048"/>
    <w:rsid w:val="00344901"/>
    <w:rsid w:val="0034560F"/>
    <w:rsid w:val="00345C38"/>
    <w:rsid w:val="00345DFC"/>
    <w:rsid w:val="00345E38"/>
    <w:rsid w:val="003475EB"/>
    <w:rsid w:val="0034765B"/>
    <w:rsid w:val="0034798D"/>
    <w:rsid w:val="003507CB"/>
    <w:rsid w:val="00350B44"/>
    <w:rsid w:val="00350D2F"/>
    <w:rsid w:val="00350E20"/>
    <w:rsid w:val="0035176A"/>
    <w:rsid w:val="00351EE8"/>
    <w:rsid w:val="00352949"/>
    <w:rsid w:val="00353517"/>
    <w:rsid w:val="003540CC"/>
    <w:rsid w:val="003549A6"/>
    <w:rsid w:val="003555BD"/>
    <w:rsid w:val="003559A0"/>
    <w:rsid w:val="00355EEF"/>
    <w:rsid w:val="00356259"/>
    <w:rsid w:val="00356A01"/>
    <w:rsid w:val="003570EE"/>
    <w:rsid w:val="003577A7"/>
    <w:rsid w:val="003623A1"/>
    <w:rsid w:val="003625CF"/>
    <w:rsid w:val="003626C0"/>
    <w:rsid w:val="0036497C"/>
    <w:rsid w:val="00364DE9"/>
    <w:rsid w:val="003651B3"/>
    <w:rsid w:val="00365400"/>
    <w:rsid w:val="00365612"/>
    <w:rsid w:val="003661CD"/>
    <w:rsid w:val="00366966"/>
    <w:rsid w:val="00366D1A"/>
    <w:rsid w:val="00367525"/>
    <w:rsid w:val="003675C1"/>
    <w:rsid w:val="003713EF"/>
    <w:rsid w:val="00371EF7"/>
    <w:rsid w:val="003727DF"/>
    <w:rsid w:val="00373A28"/>
    <w:rsid w:val="00373E7E"/>
    <w:rsid w:val="00374158"/>
    <w:rsid w:val="00374627"/>
    <w:rsid w:val="00374B4F"/>
    <w:rsid w:val="003754E8"/>
    <w:rsid w:val="00375C5D"/>
    <w:rsid w:val="00376F48"/>
    <w:rsid w:val="0037748E"/>
    <w:rsid w:val="0038003A"/>
    <w:rsid w:val="0038099D"/>
    <w:rsid w:val="0038115A"/>
    <w:rsid w:val="00381162"/>
    <w:rsid w:val="00381806"/>
    <w:rsid w:val="00381A46"/>
    <w:rsid w:val="00381C74"/>
    <w:rsid w:val="00381FF9"/>
    <w:rsid w:val="00382B80"/>
    <w:rsid w:val="003831D8"/>
    <w:rsid w:val="003832CA"/>
    <w:rsid w:val="00383948"/>
    <w:rsid w:val="0038466C"/>
    <w:rsid w:val="00384D80"/>
    <w:rsid w:val="00384F8A"/>
    <w:rsid w:val="00385086"/>
    <w:rsid w:val="00385AB2"/>
    <w:rsid w:val="00386BFA"/>
    <w:rsid w:val="00387650"/>
    <w:rsid w:val="003878CA"/>
    <w:rsid w:val="00390BA2"/>
    <w:rsid w:val="00391B64"/>
    <w:rsid w:val="003926B4"/>
    <w:rsid w:val="00392E08"/>
    <w:rsid w:val="0039371D"/>
    <w:rsid w:val="00394BE0"/>
    <w:rsid w:val="00395078"/>
    <w:rsid w:val="0039531B"/>
    <w:rsid w:val="00395B5A"/>
    <w:rsid w:val="0039661C"/>
    <w:rsid w:val="003974A3"/>
    <w:rsid w:val="00397A29"/>
    <w:rsid w:val="003A05AF"/>
    <w:rsid w:val="003A0CAC"/>
    <w:rsid w:val="003A0D3E"/>
    <w:rsid w:val="003A2782"/>
    <w:rsid w:val="003A2854"/>
    <w:rsid w:val="003A2B93"/>
    <w:rsid w:val="003A2C00"/>
    <w:rsid w:val="003A2E89"/>
    <w:rsid w:val="003A3197"/>
    <w:rsid w:val="003A3282"/>
    <w:rsid w:val="003A3FE1"/>
    <w:rsid w:val="003A4A20"/>
    <w:rsid w:val="003A5D52"/>
    <w:rsid w:val="003A6284"/>
    <w:rsid w:val="003A6352"/>
    <w:rsid w:val="003A6BC6"/>
    <w:rsid w:val="003A7285"/>
    <w:rsid w:val="003A7CA6"/>
    <w:rsid w:val="003B0337"/>
    <w:rsid w:val="003B0446"/>
    <w:rsid w:val="003B0907"/>
    <w:rsid w:val="003B0F34"/>
    <w:rsid w:val="003B11F7"/>
    <w:rsid w:val="003B234B"/>
    <w:rsid w:val="003B2557"/>
    <w:rsid w:val="003B2658"/>
    <w:rsid w:val="003B4234"/>
    <w:rsid w:val="003B48E2"/>
    <w:rsid w:val="003B4AC0"/>
    <w:rsid w:val="003B55FD"/>
    <w:rsid w:val="003B5D0B"/>
    <w:rsid w:val="003B78D2"/>
    <w:rsid w:val="003C07B2"/>
    <w:rsid w:val="003C0941"/>
    <w:rsid w:val="003C19E7"/>
    <w:rsid w:val="003C1F93"/>
    <w:rsid w:val="003C20DC"/>
    <w:rsid w:val="003C2626"/>
    <w:rsid w:val="003C2DA6"/>
    <w:rsid w:val="003C3940"/>
    <w:rsid w:val="003C3A28"/>
    <w:rsid w:val="003C3B10"/>
    <w:rsid w:val="003C3DCA"/>
    <w:rsid w:val="003C50E9"/>
    <w:rsid w:val="003C53B6"/>
    <w:rsid w:val="003C550C"/>
    <w:rsid w:val="003C577F"/>
    <w:rsid w:val="003C600B"/>
    <w:rsid w:val="003C6D80"/>
    <w:rsid w:val="003D119F"/>
    <w:rsid w:val="003D165F"/>
    <w:rsid w:val="003D1874"/>
    <w:rsid w:val="003D1CF8"/>
    <w:rsid w:val="003D212A"/>
    <w:rsid w:val="003D2B28"/>
    <w:rsid w:val="003D2F6A"/>
    <w:rsid w:val="003D368A"/>
    <w:rsid w:val="003D37C4"/>
    <w:rsid w:val="003D4895"/>
    <w:rsid w:val="003D4A58"/>
    <w:rsid w:val="003D5116"/>
    <w:rsid w:val="003D6B98"/>
    <w:rsid w:val="003D6CF4"/>
    <w:rsid w:val="003D70CA"/>
    <w:rsid w:val="003E00DB"/>
    <w:rsid w:val="003E0B18"/>
    <w:rsid w:val="003E26B0"/>
    <w:rsid w:val="003E429A"/>
    <w:rsid w:val="003E4734"/>
    <w:rsid w:val="003E4A6C"/>
    <w:rsid w:val="003E4CB7"/>
    <w:rsid w:val="003E55F8"/>
    <w:rsid w:val="003E6F47"/>
    <w:rsid w:val="003E7448"/>
    <w:rsid w:val="003E771B"/>
    <w:rsid w:val="003E7BF3"/>
    <w:rsid w:val="003F03C5"/>
    <w:rsid w:val="003F0DFA"/>
    <w:rsid w:val="003F11DE"/>
    <w:rsid w:val="003F16BC"/>
    <w:rsid w:val="003F16BE"/>
    <w:rsid w:val="003F1F28"/>
    <w:rsid w:val="003F20DF"/>
    <w:rsid w:val="003F2704"/>
    <w:rsid w:val="003F2AD5"/>
    <w:rsid w:val="003F2F05"/>
    <w:rsid w:val="003F39BC"/>
    <w:rsid w:val="003F4687"/>
    <w:rsid w:val="003F73F9"/>
    <w:rsid w:val="003F762C"/>
    <w:rsid w:val="00400421"/>
    <w:rsid w:val="004034BD"/>
    <w:rsid w:val="00403D9E"/>
    <w:rsid w:val="00404370"/>
    <w:rsid w:val="00406A76"/>
    <w:rsid w:val="00406B7E"/>
    <w:rsid w:val="00407F24"/>
    <w:rsid w:val="004101A6"/>
    <w:rsid w:val="00410455"/>
    <w:rsid w:val="00411A0A"/>
    <w:rsid w:val="00412990"/>
    <w:rsid w:val="004134D6"/>
    <w:rsid w:val="0041377F"/>
    <w:rsid w:val="00413E90"/>
    <w:rsid w:val="004140E4"/>
    <w:rsid w:val="004142A4"/>
    <w:rsid w:val="00414AA9"/>
    <w:rsid w:val="004153B9"/>
    <w:rsid w:val="00415569"/>
    <w:rsid w:val="0041652D"/>
    <w:rsid w:val="00416858"/>
    <w:rsid w:val="0042019D"/>
    <w:rsid w:val="00421256"/>
    <w:rsid w:val="00421379"/>
    <w:rsid w:val="004214DF"/>
    <w:rsid w:val="00422711"/>
    <w:rsid w:val="00423C35"/>
    <w:rsid w:val="00424EFE"/>
    <w:rsid w:val="00425358"/>
    <w:rsid w:val="00426F49"/>
    <w:rsid w:val="0042711E"/>
    <w:rsid w:val="00427E33"/>
    <w:rsid w:val="00430348"/>
    <w:rsid w:val="00430368"/>
    <w:rsid w:val="00432AEC"/>
    <w:rsid w:val="00433036"/>
    <w:rsid w:val="004332A8"/>
    <w:rsid w:val="00433448"/>
    <w:rsid w:val="00433472"/>
    <w:rsid w:val="00433A65"/>
    <w:rsid w:val="00433CA9"/>
    <w:rsid w:val="00433D8A"/>
    <w:rsid w:val="004341AE"/>
    <w:rsid w:val="0043462D"/>
    <w:rsid w:val="0043477B"/>
    <w:rsid w:val="0043482F"/>
    <w:rsid w:val="00434BCE"/>
    <w:rsid w:val="004355DF"/>
    <w:rsid w:val="004367C7"/>
    <w:rsid w:val="00436DE0"/>
    <w:rsid w:val="004377EE"/>
    <w:rsid w:val="0044090D"/>
    <w:rsid w:val="00440A74"/>
    <w:rsid w:val="00443657"/>
    <w:rsid w:val="00443A49"/>
    <w:rsid w:val="00444AEA"/>
    <w:rsid w:val="00446580"/>
    <w:rsid w:val="00446EE2"/>
    <w:rsid w:val="00447BA6"/>
    <w:rsid w:val="00447F87"/>
    <w:rsid w:val="00450374"/>
    <w:rsid w:val="00450EF3"/>
    <w:rsid w:val="0045100B"/>
    <w:rsid w:val="004516EF"/>
    <w:rsid w:val="00451723"/>
    <w:rsid w:val="00452796"/>
    <w:rsid w:val="00452E5A"/>
    <w:rsid w:val="004552E8"/>
    <w:rsid w:val="00455FC1"/>
    <w:rsid w:val="0045738D"/>
    <w:rsid w:val="004575B7"/>
    <w:rsid w:val="00457899"/>
    <w:rsid w:val="00460100"/>
    <w:rsid w:val="0046069C"/>
    <w:rsid w:val="00462B81"/>
    <w:rsid w:val="00463435"/>
    <w:rsid w:val="00463870"/>
    <w:rsid w:val="00464955"/>
    <w:rsid w:val="00464978"/>
    <w:rsid w:val="00464B73"/>
    <w:rsid w:val="00464E8B"/>
    <w:rsid w:val="0046569F"/>
    <w:rsid w:val="0046593E"/>
    <w:rsid w:val="004662D9"/>
    <w:rsid w:val="00466301"/>
    <w:rsid w:val="00466D8B"/>
    <w:rsid w:val="004671E3"/>
    <w:rsid w:val="004673E3"/>
    <w:rsid w:val="00470803"/>
    <w:rsid w:val="00470C66"/>
    <w:rsid w:val="00471134"/>
    <w:rsid w:val="00472881"/>
    <w:rsid w:val="004732CA"/>
    <w:rsid w:val="004734DA"/>
    <w:rsid w:val="00474DD3"/>
    <w:rsid w:val="00474E6F"/>
    <w:rsid w:val="00474EAA"/>
    <w:rsid w:val="004751D7"/>
    <w:rsid w:val="00475466"/>
    <w:rsid w:val="0047609A"/>
    <w:rsid w:val="004760BD"/>
    <w:rsid w:val="0047645E"/>
    <w:rsid w:val="00477952"/>
    <w:rsid w:val="004812D1"/>
    <w:rsid w:val="0048173E"/>
    <w:rsid w:val="00481963"/>
    <w:rsid w:val="00482582"/>
    <w:rsid w:val="00482C86"/>
    <w:rsid w:val="00482E04"/>
    <w:rsid w:val="00482FD9"/>
    <w:rsid w:val="00482FE3"/>
    <w:rsid w:val="00482FF6"/>
    <w:rsid w:val="00484291"/>
    <w:rsid w:val="00484376"/>
    <w:rsid w:val="0048489B"/>
    <w:rsid w:val="0048521E"/>
    <w:rsid w:val="00485485"/>
    <w:rsid w:val="00485B23"/>
    <w:rsid w:val="00487FCB"/>
    <w:rsid w:val="0049154A"/>
    <w:rsid w:val="00491597"/>
    <w:rsid w:val="004924C5"/>
    <w:rsid w:val="0049253E"/>
    <w:rsid w:val="0049273F"/>
    <w:rsid w:val="00493537"/>
    <w:rsid w:val="0049366F"/>
    <w:rsid w:val="004936E3"/>
    <w:rsid w:val="004946A8"/>
    <w:rsid w:val="00494E39"/>
    <w:rsid w:val="00494F58"/>
    <w:rsid w:val="00494F70"/>
    <w:rsid w:val="0049617A"/>
    <w:rsid w:val="00497A65"/>
    <w:rsid w:val="004A29AC"/>
    <w:rsid w:val="004A2CC6"/>
    <w:rsid w:val="004A2D92"/>
    <w:rsid w:val="004A41C2"/>
    <w:rsid w:val="004A531C"/>
    <w:rsid w:val="004A5529"/>
    <w:rsid w:val="004A5D2B"/>
    <w:rsid w:val="004A6B39"/>
    <w:rsid w:val="004A6E1E"/>
    <w:rsid w:val="004B0DD3"/>
    <w:rsid w:val="004B0E2F"/>
    <w:rsid w:val="004B215A"/>
    <w:rsid w:val="004B2D5F"/>
    <w:rsid w:val="004B2F6F"/>
    <w:rsid w:val="004B3659"/>
    <w:rsid w:val="004B3887"/>
    <w:rsid w:val="004B3C85"/>
    <w:rsid w:val="004B3FC6"/>
    <w:rsid w:val="004B41F5"/>
    <w:rsid w:val="004B4C20"/>
    <w:rsid w:val="004B54E9"/>
    <w:rsid w:val="004B57C4"/>
    <w:rsid w:val="004B59F0"/>
    <w:rsid w:val="004B5EAB"/>
    <w:rsid w:val="004B7D2E"/>
    <w:rsid w:val="004B7F65"/>
    <w:rsid w:val="004C09AC"/>
    <w:rsid w:val="004C0C61"/>
    <w:rsid w:val="004C1D2E"/>
    <w:rsid w:val="004C2613"/>
    <w:rsid w:val="004C2AB3"/>
    <w:rsid w:val="004C2AE3"/>
    <w:rsid w:val="004C2B01"/>
    <w:rsid w:val="004C309B"/>
    <w:rsid w:val="004C33EE"/>
    <w:rsid w:val="004C3A90"/>
    <w:rsid w:val="004C6246"/>
    <w:rsid w:val="004C6839"/>
    <w:rsid w:val="004C7516"/>
    <w:rsid w:val="004C7531"/>
    <w:rsid w:val="004C7803"/>
    <w:rsid w:val="004C7822"/>
    <w:rsid w:val="004C7A18"/>
    <w:rsid w:val="004D0661"/>
    <w:rsid w:val="004D08CD"/>
    <w:rsid w:val="004D0A92"/>
    <w:rsid w:val="004D0D7A"/>
    <w:rsid w:val="004D1124"/>
    <w:rsid w:val="004D28CD"/>
    <w:rsid w:val="004D346D"/>
    <w:rsid w:val="004D41A9"/>
    <w:rsid w:val="004D462B"/>
    <w:rsid w:val="004D559E"/>
    <w:rsid w:val="004D6E8A"/>
    <w:rsid w:val="004D7191"/>
    <w:rsid w:val="004D74B7"/>
    <w:rsid w:val="004D7665"/>
    <w:rsid w:val="004E08CE"/>
    <w:rsid w:val="004E0E51"/>
    <w:rsid w:val="004E144D"/>
    <w:rsid w:val="004E1F15"/>
    <w:rsid w:val="004E2800"/>
    <w:rsid w:val="004E2A50"/>
    <w:rsid w:val="004E3770"/>
    <w:rsid w:val="004E4421"/>
    <w:rsid w:val="004E5BF1"/>
    <w:rsid w:val="004E5DB7"/>
    <w:rsid w:val="004E615E"/>
    <w:rsid w:val="004E69EE"/>
    <w:rsid w:val="004E7388"/>
    <w:rsid w:val="004E7D6D"/>
    <w:rsid w:val="004F0D14"/>
    <w:rsid w:val="004F0E0B"/>
    <w:rsid w:val="004F0FCF"/>
    <w:rsid w:val="004F151B"/>
    <w:rsid w:val="004F24C8"/>
    <w:rsid w:val="004F28DE"/>
    <w:rsid w:val="004F2C34"/>
    <w:rsid w:val="004F3190"/>
    <w:rsid w:val="004F651B"/>
    <w:rsid w:val="004F668D"/>
    <w:rsid w:val="004F69BE"/>
    <w:rsid w:val="004F6A99"/>
    <w:rsid w:val="004F762F"/>
    <w:rsid w:val="004F7BA1"/>
    <w:rsid w:val="005007F7"/>
    <w:rsid w:val="00500B24"/>
    <w:rsid w:val="005027DD"/>
    <w:rsid w:val="005036DA"/>
    <w:rsid w:val="00503C77"/>
    <w:rsid w:val="0050439C"/>
    <w:rsid w:val="0050488C"/>
    <w:rsid w:val="00504929"/>
    <w:rsid w:val="00505898"/>
    <w:rsid w:val="005061FF"/>
    <w:rsid w:val="005062C2"/>
    <w:rsid w:val="00506AF7"/>
    <w:rsid w:val="005076E3"/>
    <w:rsid w:val="00507781"/>
    <w:rsid w:val="0050790F"/>
    <w:rsid w:val="0051019C"/>
    <w:rsid w:val="00511FFA"/>
    <w:rsid w:val="005126D8"/>
    <w:rsid w:val="00513E15"/>
    <w:rsid w:val="00513ECD"/>
    <w:rsid w:val="005143D4"/>
    <w:rsid w:val="005146E7"/>
    <w:rsid w:val="0051557D"/>
    <w:rsid w:val="0051597A"/>
    <w:rsid w:val="00516306"/>
    <w:rsid w:val="00516A39"/>
    <w:rsid w:val="005171B6"/>
    <w:rsid w:val="00520CD1"/>
    <w:rsid w:val="00520D07"/>
    <w:rsid w:val="00521EBF"/>
    <w:rsid w:val="00522243"/>
    <w:rsid w:val="00522D7F"/>
    <w:rsid w:val="00522E7E"/>
    <w:rsid w:val="00523211"/>
    <w:rsid w:val="00523C3F"/>
    <w:rsid w:val="00525543"/>
    <w:rsid w:val="00525835"/>
    <w:rsid w:val="00525DE3"/>
    <w:rsid w:val="00525F9F"/>
    <w:rsid w:val="0052696F"/>
    <w:rsid w:val="00527CEB"/>
    <w:rsid w:val="00532E68"/>
    <w:rsid w:val="0053472A"/>
    <w:rsid w:val="00535215"/>
    <w:rsid w:val="005358FA"/>
    <w:rsid w:val="005366F6"/>
    <w:rsid w:val="00536954"/>
    <w:rsid w:val="00536D43"/>
    <w:rsid w:val="00537F31"/>
    <w:rsid w:val="0053DE56"/>
    <w:rsid w:val="00540C4A"/>
    <w:rsid w:val="00540E0F"/>
    <w:rsid w:val="0054266A"/>
    <w:rsid w:val="00542D03"/>
    <w:rsid w:val="0054342F"/>
    <w:rsid w:val="00543634"/>
    <w:rsid w:val="005437B7"/>
    <w:rsid w:val="005448EF"/>
    <w:rsid w:val="00546DBE"/>
    <w:rsid w:val="0054758A"/>
    <w:rsid w:val="00547793"/>
    <w:rsid w:val="00547887"/>
    <w:rsid w:val="00547B0B"/>
    <w:rsid w:val="00547C09"/>
    <w:rsid w:val="00547F07"/>
    <w:rsid w:val="00550371"/>
    <w:rsid w:val="00550596"/>
    <w:rsid w:val="00550F79"/>
    <w:rsid w:val="00551294"/>
    <w:rsid w:val="0055156D"/>
    <w:rsid w:val="0055183F"/>
    <w:rsid w:val="005522B6"/>
    <w:rsid w:val="005528A2"/>
    <w:rsid w:val="005529C5"/>
    <w:rsid w:val="00552B4B"/>
    <w:rsid w:val="005539D3"/>
    <w:rsid w:val="00554C30"/>
    <w:rsid w:val="00554DFD"/>
    <w:rsid w:val="00554F85"/>
    <w:rsid w:val="00556401"/>
    <w:rsid w:val="005571A9"/>
    <w:rsid w:val="00557872"/>
    <w:rsid w:val="00557BBB"/>
    <w:rsid w:val="005601E4"/>
    <w:rsid w:val="005603F5"/>
    <w:rsid w:val="005608E6"/>
    <w:rsid w:val="005609B8"/>
    <w:rsid w:val="0056178A"/>
    <w:rsid w:val="00561FBC"/>
    <w:rsid w:val="00562796"/>
    <w:rsid w:val="00562911"/>
    <w:rsid w:val="0056292C"/>
    <w:rsid w:val="00562BDC"/>
    <w:rsid w:val="00562DD3"/>
    <w:rsid w:val="00563287"/>
    <w:rsid w:val="00563431"/>
    <w:rsid w:val="00563951"/>
    <w:rsid w:val="00564007"/>
    <w:rsid w:val="0056485B"/>
    <w:rsid w:val="00564C08"/>
    <w:rsid w:val="00564E73"/>
    <w:rsid w:val="0056634A"/>
    <w:rsid w:val="00566505"/>
    <w:rsid w:val="00566871"/>
    <w:rsid w:val="005704C3"/>
    <w:rsid w:val="005709D2"/>
    <w:rsid w:val="00570F85"/>
    <w:rsid w:val="005722A0"/>
    <w:rsid w:val="00572A34"/>
    <w:rsid w:val="00573196"/>
    <w:rsid w:val="0057326A"/>
    <w:rsid w:val="00573342"/>
    <w:rsid w:val="0057369E"/>
    <w:rsid w:val="00573B97"/>
    <w:rsid w:val="00573E1B"/>
    <w:rsid w:val="00573E21"/>
    <w:rsid w:val="00574708"/>
    <w:rsid w:val="005749DD"/>
    <w:rsid w:val="00575A69"/>
    <w:rsid w:val="00575AC3"/>
    <w:rsid w:val="005763DE"/>
    <w:rsid w:val="005767ED"/>
    <w:rsid w:val="005777B5"/>
    <w:rsid w:val="00577CEC"/>
    <w:rsid w:val="005804DC"/>
    <w:rsid w:val="00580C90"/>
    <w:rsid w:val="00581C2A"/>
    <w:rsid w:val="005833F6"/>
    <w:rsid w:val="00583C18"/>
    <w:rsid w:val="005847BC"/>
    <w:rsid w:val="005848D8"/>
    <w:rsid w:val="00585B33"/>
    <w:rsid w:val="00586128"/>
    <w:rsid w:val="00586350"/>
    <w:rsid w:val="00586699"/>
    <w:rsid w:val="005868ED"/>
    <w:rsid w:val="00586981"/>
    <w:rsid w:val="00586A30"/>
    <w:rsid w:val="00590120"/>
    <w:rsid w:val="00590A3E"/>
    <w:rsid w:val="00590D88"/>
    <w:rsid w:val="00591575"/>
    <w:rsid w:val="005919EA"/>
    <w:rsid w:val="00592212"/>
    <w:rsid w:val="0059223D"/>
    <w:rsid w:val="0059445A"/>
    <w:rsid w:val="00594683"/>
    <w:rsid w:val="005950A4"/>
    <w:rsid w:val="0059545B"/>
    <w:rsid w:val="005954F2"/>
    <w:rsid w:val="00595A47"/>
    <w:rsid w:val="00596D0C"/>
    <w:rsid w:val="00597151"/>
    <w:rsid w:val="00597839"/>
    <w:rsid w:val="005A080C"/>
    <w:rsid w:val="005A09D0"/>
    <w:rsid w:val="005A0C1C"/>
    <w:rsid w:val="005A13B8"/>
    <w:rsid w:val="005A3893"/>
    <w:rsid w:val="005A428A"/>
    <w:rsid w:val="005A4443"/>
    <w:rsid w:val="005A4D64"/>
    <w:rsid w:val="005A4E42"/>
    <w:rsid w:val="005A5F3E"/>
    <w:rsid w:val="005A5F72"/>
    <w:rsid w:val="005A6E8F"/>
    <w:rsid w:val="005A6F4E"/>
    <w:rsid w:val="005A743B"/>
    <w:rsid w:val="005A7969"/>
    <w:rsid w:val="005A7C8D"/>
    <w:rsid w:val="005B1669"/>
    <w:rsid w:val="005B1D47"/>
    <w:rsid w:val="005B2483"/>
    <w:rsid w:val="005B24CE"/>
    <w:rsid w:val="005B2854"/>
    <w:rsid w:val="005B297E"/>
    <w:rsid w:val="005B3EEA"/>
    <w:rsid w:val="005B42FF"/>
    <w:rsid w:val="005B4CBE"/>
    <w:rsid w:val="005B5AA6"/>
    <w:rsid w:val="005B60F6"/>
    <w:rsid w:val="005B67CC"/>
    <w:rsid w:val="005B6C0A"/>
    <w:rsid w:val="005B760C"/>
    <w:rsid w:val="005B7934"/>
    <w:rsid w:val="005C0494"/>
    <w:rsid w:val="005C0E10"/>
    <w:rsid w:val="005C1904"/>
    <w:rsid w:val="005C1D1C"/>
    <w:rsid w:val="005C1EFA"/>
    <w:rsid w:val="005C248E"/>
    <w:rsid w:val="005C26F6"/>
    <w:rsid w:val="005C3305"/>
    <w:rsid w:val="005C48A1"/>
    <w:rsid w:val="005C49B0"/>
    <w:rsid w:val="005C5023"/>
    <w:rsid w:val="005C50FB"/>
    <w:rsid w:val="005C67FA"/>
    <w:rsid w:val="005C6840"/>
    <w:rsid w:val="005C6996"/>
    <w:rsid w:val="005C7A94"/>
    <w:rsid w:val="005D0194"/>
    <w:rsid w:val="005D01FD"/>
    <w:rsid w:val="005D03F7"/>
    <w:rsid w:val="005D0498"/>
    <w:rsid w:val="005D127B"/>
    <w:rsid w:val="005D1AA3"/>
    <w:rsid w:val="005D229F"/>
    <w:rsid w:val="005D3551"/>
    <w:rsid w:val="005D3A0F"/>
    <w:rsid w:val="005D56D6"/>
    <w:rsid w:val="005D5839"/>
    <w:rsid w:val="005D7048"/>
    <w:rsid w:val="005D7996"/>
    <w:rsid w:val="005D7C88"/>
    <w:rsid w:val="005E18D5"/>
    <w:rsid w:val="005E3662"/>
    <w:rsid w:val="005E43ED"/>
    <w:rsid w:val="005E4641"/>
    <w:rsid w:val="005E4A0E"/>
    <w:rsid w:val="005E4CDB"/>
    <w:rsid w:val="005E51F1"/>
    <w:rsid w:val="005E5575"/>
    <w:rsid w:val="005E5A6D"/>
    <w:rsid w:val="005E6E66"/>
    <w:rsid w:val="005E6F4F"/>
    <w:rsid w:val="005E79FB"/>
    <w:rsid w:val="005E7C97"/>
    <w:rsid w:val="005F0D8D"/>
    <w:rsid w:val="005F17EF"/>
    <w:rsid w:val="005F37AC"/>
    <w:rsid w:val="005F4848"/>
    <w:rsid w:val="005F5475"/>
    <w:rsid w:val="005F5B25"/>
    <w:rsid w:val="005F5D5D"/>
    <w:rsid w:val="005F5EF3"/>
    <w:rsid w:val="005F7E7C"/>
    <w:rsid w:val="0060019D"/>
    <w:rsid w:val="0060078A"/>
    <w:rsid w:val="00600B08"/>
    <w:rsid w:val="00600C67"/>
    <w:rsid w:val="006034C2"/>
    <w:rsid w:val="006044D2"/>
    <w:rsid w:val="00604BA8"/>
    <w:rsid w:val="00605F5C"/>
    <w:rsid w:val="00605FC2"/>
    <w:rsid w:val="00606E37"/>
    <w:rsid w:val="00607766"/>
    <w:rsid w:val="006107A8"/>
    <w:rsid w:val="006108A2"/>
    <w:rsid w:val="00611EE0"/>
    <w:rsid w:val="006123A6"/>
    <w:rsid w:val="00612810"/>
    <w:rsid w:val="006147B4"/>
    <w:rsid w:val="00615A3B"/>
    <w:rsid w:val="00615BAC"/>
    <w:rsid w:val="00615E32"/>
    <w:rsid w:val="00616E47"/>
    <w:rsid w:val="00617A1E"/>
    <w:rsid w:val="006220C3"/>
    <w:rsid w:val="00622913"/>
    <w:rsid w:val="00622A87"/>
    <w:rsid w:val="00623A55"/>
    <w:rsid w:val="00623ABD"/>
    <w:rsid w:val="00624DE6"/>
    <w:rsid w:val="0062518D"/>
    <w:rsid w:val="006253BA"/>
    <w:rsid w:val="006270B1"/>
    <w:rsid w:val="006276E2"/>
    <w:rsid w:val="00630463"/>
    <w:rsid w:val="00630644"/>
    <w:rsid w:val="00630AD9"/>
    <w:rsid w:val="00630C17"/>
    <w:rsid w:val="006314DD"/>
    <w:rsid w:val="00632449"/>
    <w:rsid w:val="00633473"/>
    <w:rsid w:val="00634550"/>
    <w:rsid w:val="00635BAE"/>
    <w:rsid w:val="006360F6"/>
    <w:rsid w:val="006364B6"/>
    <w:rsid w:val="006369CA"/>
    <w:rsid w:val="00636F68"/>
    <w:rsid w:val="0063706F"/>
    <w:rsid w:val="0063764F"/>
    <w:rsid w:val="006377DF"/>
    <w:rsid w:val="00637E11"/>
    <w:rsid w:val="0064047C"/>
    <w:rsid w:val="00641865"/>
    <w:rsid w:val="006424FB"/>
    <w:rsid w:val="00642DAF"/>
    <w:rsid w:val="00643CC1"/>
    <w:rsid w:val="0064450C"/>
    <w:rsid w:val="00646553"/>
    <w:rsid w:val="0064744A"/>
    <w:rsid w:val="006476D2"/>
    <w:rsid w:val="00647846"/>
    <w:rsid w:val="00647B76"/>
    <w:rsid w:val="006506DF"/>
    <w:rsid w:val="00650A78"/>
    <w:rsid w:val="00651187"/>
    <w:rsid w:val="00651320"/>
    <w:rsid w:val="00651A94"/>
    <w:rsid w:val="00651C24"/>
    <w:rsid w:val="00651C33"/>
    <w:rsid w:val="00652177"/>
    <w:rsid w:val="0065248B"/>
    <w:rsid w:val="00652AB8"/>
    <w:rsid w:val="00652D97"/>
    <w:rsid w:val="006532A4"/>
    <w:rsid w:val="00653313"/>
    <w:rsid w:val="00653C5D"/>
    <w:rsid w:val="00653D28"/>
    <w:rsid w:val="00653D49"/>
    <w:rsid w:val="00654A6D"/>
    <w:rsid w:val="00654B65"/>
    <w:rsid w:val="00655680"/>
    <w:rsid w:val="00655CA0"/>
    <w:rsid w:val="006562FF"/>
    <w:rsid w:val="0065642E"/>
    <w:rsid w:val="00656AC0"/>
    <w:rsid w:val="00656D32"/>
    <w:rsid w:val="00657EB1"/>
    <w:rsid w:val="00660122"/>
    <w:rsid w:val="00661BE7"/>
    <w:rsid w:val="00661E13"/>
    <w:rsid w:val="00661FB0"/>
    <w:rsid w:val="00662EAD"/>
    <w:rsid w:val="00663581"/>
    <w:rsid w:val="006636BA"/>
    <w:rsid w:val="006638A3"/>
    <w:rsid w:val="00663F3D"/>
    <w:rsid w:val="006643EB"/>
    <w:rsid w:val="006644BD"/>
    <w:rsid w:val="0066450E"/>
    <w:rsid w:val="00664F85"/>
    <w:rsid w:val="0066557F"/>
    <w:rsid w:val="00666B04"/>
    <w:rsid w:val="00667037"/>
    <w:rsid w:val="00670189"/>
    <w:rsid w:val="0067054A"/>
    <w:rsid w:val="00670ED6"/>
    <w:rsid w:val="00670F59"/>
    <w:rsid w:val="0067112A"/>
    <w:rsid w:val="006714AC"/>
    <w:rsid w:val="00672A66"/>
    <w:rsid w:val="0067369B"/>
    <w:rsid w:val="00673A40"/>
    <w:rsid w:val="00673FCA"/>
    <w:rsid w:val="0067481F"/>
    <w:rsid w:val="006748DC"/>
    <w:rsid w:val="00674B8A"/>
    <w:rsid w:val="00674E48"/>
    <w:rsid w:val="0067613C"/>
    <w:rsid w:val="00676E26"/>
    <w:rsid w:val="006804D8"/>
    <w:rsid w:val="00681262"/>
    <w:rsid w:val="00681697"/>
    <w:rsid w:val="006817A4"/>
    <w:rsid w:val="0068188B"/>
    <w:rsid w:val="0068195C"/>
    <w:rsid w:val="00681DB6"/>
    <w:rsid w:val="00683342"/>
    <w:rsid w:val="00683552"/>
    <w:rsid w:val="00683732"/>
    <w:rsid w:val="00683841"/>
    <w:rsid w:val="00683C08"/>
    <w:rsid w:val="00684CDE"/>
    <w:rsid w:val="00685053"/>
    <w:rsid w:val="00685690"/>
    <w:rsid w:val="00685BF5"/>
    <w:rsid w:val="0068620C"/>
    <w:rsid w:val="006868C7"/>
    <w:rsid w:val="00686E8D"/>
    <w:rsid w:val="00686FA5"/>
    <w:rsid w:val="006870E1"/>
    <w:rsid w:val="0068714F"/>
    <w:rsid w:val="00690658"/>
    <w:rsid w:val="0069079D"/>
    <w:rsid w:val="0069186F"/>
    <w:rsid w:val="00691C4D"/>
    <w:rsid w:val="00692062"/>
    <w:rsid w:val="00692917"/>
    <w:rsid w:val="00692BA9"/>
    <w:rsid w:val="006938F6"/>
    <w:rsid w:val="006949F6"/>
    <w:rsid w:val="006959AF"/>
    <w:rsid w:val="00695AEA"/>
    <w:rsid w:val="00697338"/>
    <w:rsid w:val="0069796C"/>
    <w:rsid w:val="006A09B1"/>
    <w:rsid w:val="006A0DC6"/>
    <w:rsid w:val="006A108D"/>
    <w:rsid w:val="006A22C9"/>
    <w:rsid w:val="006A3468"/>
    <w:rsid w:val="006A34C3"/>
    <w:rsid w:val="006A38B6"/>
    <w:rsid w:val="006A3BAE"/>
    <w:rsid w:val="006A4C1B"/>
    <w:rsid w:val="006A5AD8"/>
    <w:rsid w:val="006A7455"/>
    <w:rsid w:val="006B0900"/>
    <w:rsid w:val="006B0A61"/>
    <w:rsid w:val="006B0CFF"/>
    <w:rsid w:val="006B0E90"/>
    <w:rsid w:val="006B0EB0"/>
    <w:rsid w:val="006B18D7"/>
    <w:rsid w:val="006B1C05"/>
    <w:rsid w:val="006B208E"/>
    <w:rsid w:val="006B27AE"/>
    <w:rsid w:val="006B288E"/>
    <w:rsid w:val="006B2D1D"/>
    <w:rsid w:val="006B3799"/>
    <w:rsid w:val="006B386C"/>
    <w:rsid w:val="006B561D"/>
    <w:rsid w:val="006B6336"/>
    <w:rsid w:val="006B6376"/>
    <w:rsid w:val="006C0316"/>
    <w:rsid w:val="006C0780"/>
    <w:rsid w:val="006C0F12"/>
    <w:rsid w:val="006C15EB"/>
    <w:rsid w:val="006C18A1"/>
    <w:rsid w:val="006C1F96"/>
    <w:rsid w:val="006C247D"/>
    <w:rsid w:val="006C37C1"/>
    <w:rsid w:val="006C4A4F"/>
    <w:rsid w:val="006C4B93"/>
    <w:rsid w:val="006C611B"/>
    <w:rsid w:val="006C66B2"/>
    <w:rsid w:val="006C6CD8"/>
    <w:rsid w:val="006C7803"/>
    <w:rsid w:val="006C78AF"/>
    <w:rsid w:val="006D0904"/>
    <w:rsid w:val="006D15C7"/>
    <w:rsid w:val="006D2D23"/>
    <w:rsid w:val="006D36D7"/>
    <w:rsid w:val="006D536C"/>
    <w:rsid w:val="006D5467"/>
    <w:rsid w:val="006D61D8"/>
    <w:rsid w:val="006D7338"/>
    <w:rsid w:val="006E0430"/>
    <w:rsid w:val="006E3752"/>
    <w:rsid w:val="006E3C65"/>
    <w:rsid w:val="006E4502"/>
    <w:rsid w:val="006E57E7"/>
    <w:rsid w:val="006E5BD8"/>
    <w:rsid w:val="006E623D"/>
    <w:rsid w:val="006E73D9"/>
    <w:rsid w:val="006E755A"/>
    <w:rsid w:val="006E77F5"/>
    <w:rsid w:val="006E79D0"/>
    <w:rsid w:val="006F0243"/>
    <w:rsid w:val="006F0C89"/>
    <w:rsid w:val="006F37C7"/>
    <w:rsid w:val="006F47DC"/>
    <w:rsid w:val="006F5545"/>
    <w:rsid w:val="006F585D"/>
    <w:rsid w:val="006F6BB2"/>
    <w:rsid w:val="006F722B"/>
    <w:rsid w:val="006F736B"/>
    <w:rsid w:val="0070000F"/>
    <w:rsid w:val="00700742"/>
    <w:rsid w:val="00700EBC"/>
    <w:rsid w:val="0070276E"/>
    <w:rsid w:val="00702A30"/>
    <w:rsid w:val="00702EE6"/>
    <w:rsid w:val="00703B45"/>
    <w:rsid w:val="0070580F"/>
    <w:rsid w:val="00706947"/>
    <w:rsid w:val="00706A7D"/>
    <w:rsid w:val="00706ABB"/>
    <w:rsid w:val="007074E6"/>
    <w:rsid w:val="00707EE0"/>
    <w:rsid w:val="00707F5A"/>
    <w:rsid w:val="007113C2"/>
    <w:rsid w:val="00711E12"/>
    <w:rsid w:val="00712219"/>
    <w:rsid w:val="007133A4"/>
    <w:rsid w:val="007133DE"/>
    <w:rsid w:val="00714809"/>
    <w:rsid w:val="0071528F"/>
    <w:rsid w:val="007154CF"/>
    <w:rsid w:val="00715CF3"/>
    <w:rsid w:val="007167F8"/>
    <w:rsid w:val="00716F9B"/>
    <w:rsid w:val="0071700C"/>
    <w:rsid w:val="0071756C"/>
    <w:rsid w:val="00720482"/>
    <w:rsid w:val="00721CF7"/>
    <w:rsid w:val="00723134"/>
    <w:rsid w:val="007234CB"/>
    <w:rsid w:val="007240E5"/>
    <w:rsid w:val="00724915"/>
    <w:rsid w:val="00724C8F"/>
    <w:rsid w:val="00724FA6"/>
    <w:rsid w:val="007257F0"/>
    <w:rsid w:val="00727614"/>
    <w:rsid w:val="00730BD1"/>
    <w:rsid w:val="00730F64"/>
    <w:rsid w:val="007320A1"/>
    <w:rsid w:val="0073210B"/>
    <w:rsid w:val="00732C1F"/>
    <w:rsid w:val="00732C85"/>
    <w:rsid w:val="00732FC7"/>
    <w:rsid w:val="007331FA"/>
    <w:rsid w:val="00733E03"/>
    <w:rsid w:val="0073407F"/>
    <w:rsid w:val="00734BE7"/>
    <w:rsid w:val="007351FB"/>
    <w:rsid w:val="007357BF"/>
    <w:rsid w:val="00736EA1"/>
    <w:rsid w:val="007370F5"/>
    <w:rsid w:val="007402A5"/>
    <w:rsid w:val="007407F7"/>
    <w:rsid w:val="0074090C"/>
    <w:rsid w:val="00741513"/>
    <w:rsid w:val="007416F1"/>
    <w:rsid w:val="007423F6"/>
    <w:rsid w:val="00742491"/>
    <w:rsid w:val="0074256D"/>
    <w:rsid w:val="00742D13"/>
    <w:rsid w:val="00742F6C"/>
    <w:rsid w:val="007433C9"/>
    <w:rsid w:val="0074482E"/>
    <w:rsid w:val="00744DE2"/>
    <w:rsid w:val="007453F1"/>
    <w:rsid w:val="00745595"/>
    <w:rsid w:val="0074637C"/>
    <w:rsid w:val="00747A68"/>
    <w:rsid w:val="007508F9"/>
    <w:rsid w:val="00751605"/>
    <w:rsid w:val="0075189D"/>
    <w:rsid w:val="00751A7C"/>
    <w:rsid w:val="00751B0E"/>
    <w:rsid w:val="00751D16"/>
    <w:rsid w:val="00752AB3"/>
    <w:rsid w:val="00752E9B"/>
    <w:rsid w:val="00754227"/>
    <w:rsid w:val="007544FB"/>
    <w:rsid w:val="00754586"/>
    <w:rsid w:val="0075465F"/>
    <w:rsid w:val="00754E64"/>
    <w:rsid w:val="00755B51"/>
    <w:rsid w:val="00756EBB"/>
    <w:rsid w:val="00757529"/>
    <w:rsid w:val="00757AD7"/>
    <w:rsid w:val="00761166"/>
    <w:rsid w:val="0076194A"/>
    <w:rsid w:val="00762A76"/>
    <w:rsid w:val="00762D3A"/>
    <w:rsid w:val="00764263"/>
    <w:rsid w:val="007642F3"/>
    <w:rsid w:val="00765D92"/>
    <w:rsid w:val="00767E15"/>
    <w:rsid w:val="00767E54"/>
    <w:rsid w:val="00767F68"/>
    <w:rsid w:val="007710A2"/>
    <w:rsid w:val="00771749"/>
    <w:rsid w:val="00773169"/>
    <w:rsid w:val="007739DB"/>
    <w:rsid w:val="00773CBE"/>
    <w:rsid w:val="00773E17"/>
    <w:rsid w:val="00774411"/>
    <w:rsid w:val="00774D40"/>
    <w:rsid w:val="00775018"/>
    <w:rsid w:val="00775F3B"/>
    <w:rsid w:val="00776F55"/>
    <w:rsid w:val="00776FCF"/>
    <w:rsid w:val="00777128"/>
    <w:rsid w:val="00777A4A"/>
    <w:rsid w:val="00780320"/>
    <w:rsid w:val="007806C4"/>
    <w:rsid w:val="0078108E"/>
    <w:rsid w:val="00781F25"/>
    <w:rsid w:val="00783052"/>
    <w:rsid w:val="007838AC"/>
    <w:rsid w:val="00783AEE"/>
    <w:rsid w:val="007844C5"/>
    <w:rsid w:val="007846B2"/>
    <w:rsid w:val="007850E0"/>
    <w:rsid w:val="0078565E"/>
    <w:rsid w:val="007856C1"/>
    <w:rsid w:val="007857CF"/>
    <w:rsid w:val="00787893"/>
    <w:rsid w:val="0078B5A4"/>
    <w:rsid w:val="007909A0"/>
    <w:rsid w:val="00790F8E"/>
    <w:rsid w:val="00792259"/>
    <w:rsid w:val="00792593"/>
    <w:rsid w:val="0079300C"/>
    <w:rsid w:val="00794678"/>
    <w:rsid w:val="00795405"/>
    <w:rsid w:val="00795807"/>
    <w:rsid w:val="00795EE2"/>
    <w:rsid w:val="00796A86"/>
    <w:rsid w:val="00796EF7"/>
    <w:rsid w:val="007972A1"/>
    <w:rsid w:val="007A03D3"/>
    <w:rsid w:val="007A0643"/>
    <w:rsid w:val="007A0779"/>
    <w:rsid w:val="007A0C1E"/>
    <w:rsid w:val="007A0D56"/>
    <w:rsid w:val="007A11F1"/>
    <w:rsid w:val="007A1F80"/>
    <w:rsid w:val="007A2028"/>
    <w:rsid w:val="007A3392"/>
    <w:rsid w:val="007A349F"/>
    <w:rsid w:val="007A3872"/>
    <w:rsid w:val="007A6EFA"/>
    <w:rsid w:val="007A769F"/>
    <w:rsid w:val="007A7BAF"/>
    <w:rsid w:val="007A7FBA"/>
    <w:rsid w:val="007B1A18"/>
    <w:rsid w:val="007B1D27"/>
    <w:rsid w:val="007B1FE0"/>
    <w:rsid w:val="007B34F4"/>
    <w:rsid w:val="007B3CBF"/>
    <w:rsid w:val="007B42CC"/>
    <w:rsid w:val="007B4B56"/>
    <w:rsid w:val="007B4E2F"/>
    <w:rsid w:val="007B5842"/>
    <w:rsid w:val="007B6185"/>
    <w:rsid w:val="007B6466"/>
    <w:rsid w:val="007B6ADE"/>
    <w:rsid w:val="007B7EBE"/>
    <w:rsid w:val="007C017B"/>
    <w:rsid w:val="007C056E"/>
    <w:rsid w:val="007C14F5"/>
    <w:rsid w:val="007C2A8F"/>
    <w:rsid w:val="007C2C0D"/>
    <w:rsid w:val="007C2E8E"/>
    <w:rsid w:val="007C2EAC"/>
    <w:rsid w:val="007C40B8"/>
    <w:rsid w:val="007C40E3"/>
    <w:rsid w:val="007C4673"/>
    <w:rsid w:val="007C623A"/>
    <w:rsid w:val="007C7A54"/>
    <w:rsid w:val="007D0C6F"/>
    <w:rsid w:val="007D10B0"/>
    <w:rsid w:val="007D2676"/>
    <w:rsid w:val="007D392E"/>
    <w:rsid w:val="007D443D"/>
    <w:rsid w:val="007D4C41"/>
    <w:rsid w:val="007D541E"/>
    <w:rsid w:val="007D6605"/>
    <w:rsid w:val="007D7148"/>
    <w:rsid w:val="007E0520"/>
    <w:rsid w:val="007E0DF1"/>
    <w:rsid w:val="007E19CA"/>
    <w:rsid w:val="007E26D1"/>
    <w:rsid w:val="007E2F0F"/>
    <w:rsid w:val="007E3467"/>
    <w:rsid w:val="007E3C77"/>
    <w:rsid w:val="007E4374"/>
    <w:rsid w:val="007E492D"/>
    <w:rsid w:val="007E573A"/>
    <w:rsid w:val="007F01DB"/>
    <w:rsid w:val="007F0C31"/>
    <w:rsid w:val="007F0F62"/>
    <w:rsid w:val="007F14F4"/>
    <w:rsid w:val="007F1988"/>
    <w:rsid w:val="007F23B3"/>
    <w:rsid w:val="007F23C8"/>
    <w:rsid w:val="007F2C5E"/>
    <w:rsid w:val="007F4BEE"/>
    <w:rsid w:val="007F4C4E"/>
    <w:rsid w:val="007F4D11"/>
    <w:rsid w:val="007F54BC"/>
    <w:rsid w:val="007F6BB4"/>
    <w:rsid w:val="007F72A0"/>
    <w:rsid w:val="00800B63"/>
    <w:rsid w:val="00801B0B"/>
    <w:rsid w:val="00801ECD"/>
    <w:rsid w:val="008033A1"/>
    <w:rsid w:val="0080384B"/>
    <w:rsid w:val="00804131"/>
    <w:rsid w:val="00804D36"/>
    <w:rsid w:val="00804FE4"/>
    <w:rsid w:val="00805545"/>
    <w:rsid w:val="00806332"/>
    <w:rsid w:val="008064C2"/>
    <w:rsid w:val="008065C9"/>
    <w:rsid w:val="00806D16"/>
    <w:rsid w:val="008075D0"/>
    <w:rsid w:val="00807B4E"/>
    <w:rsid w:val="00808471"/>
    <w:rsid w:val="008106F3"/>
    <w:rsid w:val="00810C06"/>
    <w:rsid w:val="00811E03"/>
    <w:rsid w:val="00811F0A"/>
    <w:rsid w:val="00812033"/>
    <w:rsid w:val="0081242F"/>
    <w:rsid w:val="00812D85"/>
    <w:rsid w:val="00813858"/>
    <w:rsid w:val="008146E1"/>
    <w:rsid w:val="00815164"/>
    <w:rsid w:val="00815C3A"/>
    <w:rsid w:val="00816D9E"/>
    <w:rsid w:val="00816FC2"/>
    <w:rsid w:val="008171D6"/>
    <w:rsid w:val="00821041"/>
    <w:rsid w:val="0082121A"/>
    <w:rsid w:val="00821425"/>
    <w:rsid w:val="00821706"/>
    <w:rsid w:val="008223CB"/>
    <w:rsid w:val="008223DB"/>
    <w:rsid w:val="0082263D"/>
    <w:rsid w:val="008230E0"/>
    <w:rsid w:val="00823858"/>
    <w:rsid w:val="008238A8"/>
    <w:rsid w:val="00824D2E"/>
    <w:rsid w:val="008250CA"/>
    <w:rsid w:val="00826744"/>
    <w:rsid w:val="00826F0F"/>
    <w:rsid w:val="00826F7A"/>
    <w:rsid w:val="008272F0"/>
    <w:rsid w:val="00827E1B"/>
    <w:rsid w:val="00830F3C"/>
    <w:rsid w:val="00831129"/>
    <w:rsid w:val="00831E34"/>
    <w:rsid w:val="00832891"/>
    <w:rsid w:val="008332BC"/>
    <w:rsid w:val="00834CE4"/>
    <w:rsid w:val="00835AF5"/>
    <w:rsid w:val="00836E00"/>
    <w:rsid w:val="008376AA"/>
    <w:rsid w:val="00837E78"/>
    <w:rsid w:val="00840AEA"/>
    <w:rsid w:val="00840CCA"/>
    <w:rsid w:val="00840E7A"/>
    <w:rsid w:val="00841784"/>
    <w:rsid w:val="0084255E"/>
    <w:rsid w:val="00843735"/>
    <w:rsid w:val="00843815"/>
    <w:rsid w:val="0084403E"/>
    <w:rsid w:val="008442F4"/>
    <w:rsid w:val="008448A5"/>
    <w:rsid w:val="00844902"/>
    <w:rsid w:val="008449F9"/>
    <w:rsid w:val="00844F6D"/>
    <w:rsid w:val="00845391"/>
    <w:rsid w:val="008464FF"/>
    <w:rsid w:val="008465BC"/>
    <w:rsid w:val="00846B28"/>
    <w:rsid w:val="00846C6D"/>
    <w:rsid w:val="00847004"/>
    <w:rsid w:val="008475A4"/>
    <w:rsid w:val="00847E47"/>
    <w:rsid w:val="00852513"/>
    <w:rsid w:val="00852AEA"/>
    <w:rsid w:val="008545DF"/>
    <w:rsid w:val="008548D1"/>
    <w:rsid w:val="00855658"/>
    <w:rsid w:val="0085622D"/>
    <w:rsid w:val="008579C2"/>
    <w:rsid w:val="008617CC"/>
    <w:rsid w:val="00861F73"/>
    <w:rsid w:val="0086220B"/>
    <w:rsid w:val="0086267E"/>
    <w:rsid w:val="00863DA6"/>
    <w:rsid w:val="00864059"/>
    <w:rsid w:val="0086457A"/>
    <w:rsid w:val="008649A3"/>
    <w:rsid w:val="008674AB"/>
    <w:rsid w:val="00867E1E"/>
    <w:rsid w:val="00867EF8"/>
    <w:rsid w:val="0087007C"/>
    <w:rsid w:val="00870464"/>
    <w:rsid w:val="00871BCF"/>
    <w:rsid w:val="00872D15"/>
    <w:rsid w:val="00873740"/>
    <w:rsid w:val="0087411E"/>
    <w:rsid w:val="0087447A"/>
    <w:rsid w:val="00874AF4"/>
    <w:rsid w:val="00874CB4"/>
    <w:rsid w:val="00876115"/>
    <w:rsid w:val="00876DAF"/>
    <w:rsid w:val="0087719F"/>
    <w:rsid w:val="00877BF2"/>
    <w:rsid w:val="00877EF8"/>
    <w:rsid w:val="008803FA"/>
    <w:rsid w:val="00880FEB"/>
    <w:rsid w:val="00881901"/>
    <w:rsid w:val="00881A90"/>
    <w:rsid w:val="00882A7C"/>
    <w:rsid w:val="00882D16"/>
    <w:rsid w:val="00884BB4"/>
    <w:rsid w:val="00884FBD"/>
    <w:rsid w:val="0088522C"/>
    <w:rsid w:val="00885296"/>
    <w:rsid w:val="00885FD8"/>
    <w:rsid w:val="0088667E"/>
    <w:rsid w:val="008866C0"/>
    <w:rsid w:val="008866EF"/>
    <w:rsid w:val="008877BF"/>
    <w:rsid w:val="008918B7"/>
    <w:rsid w:val="00891A0E"/>
    <w:rsid w:val="00892748"/>
    <w:rsid w:val="00892B34"/>
    <w:rsid w:val="00892D75"/>
    <w:rsid w:val="00892E55"/>
    <w:rsid w:val="00894085"/>
    <w:rsid w:val="008943B8"/>
    <w:rsid w:val="00895601"/>
    <w:rsid w:val="008961A8"/>
    <w:rsid w:val="00896299"/>
    <w:rsid w:val="00896BB0"/>
    <w:rsid w:val="008A0789"/>
    <w:rsid w:val="008A11A6"/>
    <w:rsid w:val="008A14C3"/>
    <w:rsid w:val="008A1711"/>
    <w:rsid w:val="008A25D4"/>
    <w:rsid w:val="008A3551"/>
    <w:rsid w:val="008A69F2"/>
    <w:rsid w:val="008B0B8C"/>
    <w:rsid w:val="008B1307"/>
    <w:rsid w:val="008B22FE"/>
    <w:rsid w:val="008B2570"/>
    <w:rsid w:val="008B27D1"/>
    <w:rsid w:val="008B27EF"/>
    <w:rsid w:val="008B3E54"/>
    <w:rsid w:val="008B58E1"/>
    <w:rsid w:val="008B6C5E"/>
    <w:rsid w:val="008C08F0"/>
    <w:rsid w:val="008C1F91"/>
    <w:rsid w:val="008C2CA3"/>
    <w:rsid w:val="008C47EA"/>
    <w:rsid w:val="008C49C7"/>
    <w:rsid w:val="008C4EA6"/>
    <w:rsid w:val="008C4FBC"/>
    <w:rsid w:val="008C5249"/>
    <w:rsid w:val="008C6E07"/>
    <w:rsid w:val="008C7BB8"/>
    <w:rsid w:val="008C7EEF"/>
    <w:rsid w:val="008CAB08"/>
    <w:rsid w:val="008D0327"/>
    <w:rsid w:val="008D192E"/>
    <w:rsid w:val="008D320A"/>
    <w:rsid w:val="008D3489"/>
    <w:rsid w:val="008D4C08"/>
    <w:rsid w:val="008D4E25"/>
    <w:rsid w:val="008D5343"/>
    <w:rsid w:val="008D569D"/>
    <w:rsid w:val="008D5759"/>
    <w:rsid w:val="008D5C48"/>
    <w:rsid w:val="008D6690"/>
    <w:rsid w:val="008D6EC4"/>
    <w:rsid w:val="008E0C8A"/>
    <w:rsid w:val="008E11AE"/>
    <w:rsid w:val="008E1521"/>
    <w:rsid w:val="008E1CD1"/>
    <w:rsid w:val="008E2E67"/>
    <w:rsid w:val="008E49AE"/>
    <w:rsid w:val="008E4A72"/>
    <w:rsid w:val="008E5E29"/>
    <w:rsid w:val="008E6DC5"/>
    <w:rsid w:val="008F062B"/>
    <w:rsid w:val="008F0661"/>
    <w:rsid w:val="008F0668"/>
    <w:rsid w:val="008F0706"/>
    <w:rsid w:val="008F0A74"/>
    <w:rsid w:val="008F1EA8"/>
    <w:rsid w:val="008F223E"/>
    <w:rsid w:val="008F2F8D"/>
    <w:rsid w:val="008F36C4"/>
    <w:rsid w:val="008F4022"/>
    <w:rsid w:val="008F40B2"/>
    <w:rsid w:val="008F4F51"/>
    <w:rsid w:val="008F5BCB"/>
    <w:rsid w:val="008F6149"/>
    <w:rsid w:val="008F7520"/>
    <w:rsid w:val="008F7A14"/>
    <w:rsid w:val="009015A4"/>
    <w:rsid w:val="009018EC"/>
    <w:rsid w:val="00902351"/>
    <w:rsid w:val="00902469"/>
    <w:rsid w:val="00902526"/>
    <w:rsid w:val="00902E78"/>
    <w:rsid w:val="00902FD5"/>
    <w:rsid w:val="0090375E"/>
    <w:rsid w:val="00903DB0"/>
    <w:rsid w:val="009058DA"/>
    <w:rsid w:val="00905B84"/>
    <w:rsid w:val="00905C51"/>
    <w:rsid w:val="009063E9"/>
    <w:rsid w:val="00907BA3"/>
    <w:rsid w:val="00910D10"/>
    <w:rsid w:val="0091116F"/>
    <w:rsid w:val="00911F38"/>
    <w:rsid w:val="00912891"/>
    <w:rsid w:val="00912DE1"/>
    <w:rsid w:val="00912E70"/>
    <w:rsid w:val="00913939"/>
    <w:rsid w:val="00913995"/>
    <w:rsid w:val="009144AB"/>
    <w:rsid w:val="00914B3E"/>
    <w:rsid w:val="00914C71"/>
    <w:rsid w:val="009151DC"/>
    <w:rsid w:val="00915A6E"/>
    <w:rsid w:val="00916357"/>
    <w:rsid w:val="00916F5F"/>
    <w:rsid w:val="0091717B"/>
    <w:rsid w:val="00917436"/>
    <w:rsid w:val="009174C6"/>
    <w:rsid w:val="00917A91"/>
    <w:rsid w:val="00917F37"/>
    <w:rsid w:val="00920101"/>
    <w:rsid w:val="0092049D"/>
    <w:rsid w:val="00921111"/>
    <w:rsid w:val="00921403"/>
    <w:rsid w:val="009217DE"/>
    <w:rsid w:val="009217F2"/>
    <w:rsid w:val="0092231E"/>
    <w:rsid w:val="00922A0C"/>
    <w:rsid w:val="009234B6"/>
    <w:rsid w:val="009242F1"/>
    <w:rsid w:val="00924513"/>
    <w:rsid w:val="00925C66"/>
    <w:rsid w:val="00927763"/>
    <w:rsid w:val="00930B8D"/>
    <w:rsid w:val="009317E8"/>
    <w:rsid w:val="00931A2E"/>
    <w:rsid w:val="00932825"/>
    <w:rsid w:val="00932FF5"/>
    <w:rsid w:val="00933E6D"/>
    <w:rsid w:val="00933FE7"/>
    <w:rsid w:val="009340A1"/>
    <w:rsid w:val="0093430E"/>
    <w:rsid w:val="009343E0"/>
    <w:rsid w:val="0093470F"/>
    <w:rsid w:val="00934731"/>
    <w:rsid w:val="0093521A"/>
    <w:rsid w:val="009354E3"/>
    <w:rsid w:val="009364A8"/>
    <w:rsid w:val="009367E1"/>
    <w:rsid w:val="00936AC8"/>
    <w:rsid w:val="00936E42"/>
    <w:rsid w:val="00937FFC"/>
    <w:rsid w:val="00940126"/>
    <w:rsid w:val="00940FBF"/>
    <w:rsid w:val="009413C7"/>
    <w:rsid w:val="00941465"/>
    <w:rsid w:val="00941B30"/>
    <w:rsid w:val="00941D27"/>
    <w:rsid w:val="00942960"/>
    <w:rsid w:val="00944BE6"/>
    <w:rsid w:val="00944DD5"/>
    <w:rsid w:val="0094581B"/>
    <w:rsid w:val="00945B45"/>
    <w:rsid w:val="00946C49"/>
    <w:rsid w:val="00947A3E"/>
    <w:rsid w:val="00947E66"/>
    <w:rsid w:val="00950D3C"/>
    <w:rsid w:val="009529FD"/>
    <w:rsid w:val="00952FA0"/>
    <w:rsid w:val="00953437"/>
    <w:rsid w:val="009541E5"/>
    <w:rsid w:val="009541FF"/>
    <w:rsid w:val="00954522"/>
    <w:rsid w:val="009559F6"/>
    <w:rsid w:val="00955C31"/>
    <w:rsid w:val="00957A05"/>
    <w:rsid w:val="00957C6C"/>
    <w:rsid w:val="0096003E"/>
    <w:rsid w:val="00960064"/>
    <w:rsid w:val="009614F2"/>
    <w:rsid w:val="0096255B"/>
    <w:rsid w:val="0096269B"/>
    <w:rsid w:val="0096310F"/>
    <w:rsid w:val="0096346E"/>
    <w:rsid w:val="009640C1"/>
    <w:rsid w:val="00964A13"/>
    <w:rsid w:val="0096515D"/>
    <w:rsid w:val="009651C1"/>
    <w:rsid w:val="00965A9B"/>
    <w:rsid w:val="00965B04"/>
    <w:rsid w:val="00965F8C"/>
    <w:rsid w:val="00966A79"/>
    <w:rsid w:val="00966B00"/>
    <w:rsid w:val="00966C9C"/>
    <w:rsid w:val="00967601"/>
    <w:rsid w:val="009702E2"/>
    <w:rsid w:val="00970D13"/>
    <w:rsid w:val="0097188A"/>
    <w:rsid w:val="009724BE"/>
    <w:rsid w:val="00972780"/>
    <w:rsid w:val="00972865"/>
    <w:rsid w:val="0097300F"/>
    <w:rsid w:val="0097371F"/>
    <w:rsid w:val="0097434C"/>
    <w:rsid w:val="009744C7"/>
    <w:rsid w:val="0097537D"/>
    <w:rsid w:val="00975638"/>
    <w:rsid w:val="00976105"/>
    <w:rsid w:val="00976635"/>
    <w:rsid w:val="009767EF"/>
    <w:rsid w:val="00976C9B"/>
    <w:rsid w:val="00977178"/>
    <w:rsid w:val="0097765D"/>
    <w:rsid w:val="00977CBA"/>
    <w:rsid w:val="00980A78"/>
    <w:rsid w:val="0098120D"/>
    <w:rsid w:val="009821B0"/>
    <w:rsid w:val="00982892"/>
    <w:rsid w:val="00982939"/>
    <w:rsid w:val="00983027"/>
    <w:rsid w:val="00983F29"/>
    <w:rsid w:val="0098408B"/>
    <w:rsid w:val="00984A78"/>
    <w:rsid w:val="009856E0"/>
    <w:rsid w:val="009867C4"/>
    <w:rsid w:val="00986A7C"/>
    <w:rsid w:val="00987727"/>
    <w:rsid w:val="009901B0"/>
    <w:rsid w:val="00990940"/>
    <w:rsid w:val="00991852"/>
    <w:rsid w:val="00991894"/>
    <w:rsid w:val="009926C9"/>
    <w:rsid w:val="00992A9E"/>
    <w:rsid w:val="0099336D"/>
    <w:rsid w:val="009938B0"/>
    <w:rsid w:val="00993AE8"/>
    <w:rsid w:val="00993BB2"/>
    <w:rsid w:val="00993D57"/>
    <w:rsid w:val="009940A4"/>
    <w:rsid w:val="00994725"/>
    <w:rsid w:val="00994975"/>
    <w:rsid w:val="00994A96"/>
    <w:rsid w:val="00995036"/>
    <w:rsid w:val="009966FE"/>
    <w:rsid w:val="00996F47"/>
    <w:rsid w:val="009973AE"/>
    <w:rsid w:val="009A0159"/>
    <w:rsid w:val="009A05A9"/>
    <w:rsid w:val="009A10FE"/>
    <w:rsid w:val="009A19A0"/>
    <w:rsid w:val="009A2336"/>
    <w:rsid w:val="009A267B"/>
    <w:rsid w:val="009A2694"/>
    <w:rsid w:val="009A2838"/>
    <w:rsid w:val="009A2D60"/>
    <w:rsid w:val="009A4C13"/>
    <w:rsid w:val="009A52E0"/>
    <w:rsid w:val="009A5A23"/>
    <w:rsid w:val="009A654D"/>
    <w:rsid w:val="009A73DD"/>
    <w:rsid w:val="009B0211"/>
    <w:rsid w:val="009B0299"/>
    <w:rsid w:val="009B0FA2"/>
    <w:rsid w:val="009B117A"/>
    <w:rsid w:val="009B1CDC"/>
    <w:rsid w:val="009B1E2E"/>
    <w:rsid w:val="009B20A3"/>
    <w:rsid w:val="009B2123"/>
    <w:rsid w:val="009B26E0"/>
    <w:rsid w:val="009B2916"/>
    <w:rsid w:val="009B2C11"/>
    <w:rsid w:val="009B33E7"/>
    <w:rsid w:val="009B4C3C"/>
    <w:rsid w:val="009B5074"/>
    <w:rsid w:val="009B5488"/>
    <w:rsid w:val="009B572D"/>
    <w:rsid w:val="009B5854"/>
    <w:rsid w:val="009B7528"/>
    <w:rsid w:val="009C12C6"/>
    <w:rsid w:val="009C1DB2"/>
    <w:rsid w:val="009C1ED8"/>
    <w:rsid w:val="009C2A5D"/>
    <w:rsid w:val="009C30DF"/>
    <w:rsid w:val="009C3344"/>
    <w:rsid w:val="009C350D"/>
    <w:rsid w:val="009C508C"/>
    <w:rsid w:val="009C51B2"/>
    <w:rsid w:val="009C5B9B"/>
    <w:rsid w:val="009C71F4"/>
    <w:rsid w:val="009C72B4"/>
    <w:rsid w:val="009C747F"/>
    <w:rsid w:val="009D0A5B"/>
    <w:rsid w:val="009D0F32"/>
    <w:rsid w:val="009D1576"/>
    <w:rsid w:val="009D2A1A"/>
    <w:rsid w:val="009E19FB"/>
    <w:rsid w:val="009E2437"/>
    <w:rsid w:val="009E3010"/>
    <w:rsid w:val="009E3241"/>
    <w:rsid w:val="009E3B38"/>
    <w:rsid w:val="009E52D1"/>
    <w:rsid w:val="009E56E7"/>
    <w:rsid w:val="009E5B33"/>
    <w:rsid w:val="009E69D7"/>
    <w:rsid w:val="009E7A0D"/>
    <w:rsid w:val="009E7E1A"/>
    <w:rsid w:val="009F03DF"/>
    <w:rsid w:val="009F0469"/>
    <w:rsid w:val="009F101B"/>
    <w:rsid w:val="009F214B"/>
    <w:rsid w:val="009F2AFA"/>
    <w:rsid w:val="009F2DB6"/>
    <w:rsid w:val="009F3259"/>
    <w:rsid w:val="009F357F"/>
    <w:rsid w:val="009F3700"/>
    <w:rsid w:val="009F4F2A"/>
    <w:rsid w:val="009F511C"/>
    <w:rsid w:val="009F52EE"/>
    <w:rsid w:val="009F53B6"/>
    <w:rsid w:val="009F6984"/>
    <w:rsid w:val="009F7AF8"/>
    <w:rsid w:val="00A00473"/>
    <w:rsid w:val="00A00531"/>
    <w:rsid w:val="00A012B9"/>
    <w:rsid w:val="00A015AC"/>
    <w:rsid w:val="00A01CC3"/>
    <w:rsid w:val="00A01EAC"/>
    <w:rsid w:val="00A02762"/>
    <w:rsid w:val="00A028C3"/>
    <w:rsid w:val="00A03C15"/>
    <w:rsid w:val="00A047F0"/>
    <w:rsid w:val="00A04AC4"/>
    <w:rsid w:val="00A0573E"/>
    <w:rsid w:val="00A067D4"/>
    <w:rsid w:val="00A076D3"/>
    <w:rsid w:val="00A07858"/>
    <w:rsid w:val="00A07BD0"/>
    <w:rsid w:val="00A1057B"/>
    <w:rsid w:val="00A10757"/>
    <w:rsid w:val="00A10ADA"/>
    <w:rsid w:val="00A12B36"/>
    <w:rsid w:val="00A12FA8"/>
    <w:rsid w:val="00A13EDF"/>
    <w:rsid w:val="00A13FC5"/>
    <w:rsid w:val="00A1425B"/>
    <w:rsid w:val="00A147A3"/>
    <w:rsid w:val="00A148C5"/>
    <w:rsid w:val="00A14A6B"/>
    <w:rsid w:val="00A14D9A"/>
    <w:rsid w:val="00A15044"/>
    <w:rsid w:val="00A15727"/>
    <w:rsid w:val="00A15811"/>
    <w:rsid w:val="00A15CEF"/>
    <w:rsid w:val="00A16FAB"/>
    <w:rsid w:val="00A174D3"/>
    <w:rsid w:val="00A17E37"/>
    <w:rsid w:val="00A201A1"/>
    <w:rsid w:val="00A210F6"/>
    <w:rsid w:val="00A21DC9"/>
    <w:rsid w:val="00A22555"/>
    <w:rsid w:val="00A237E4"/>
    <w:rsid w:val="00A24697"/>
    <w:rsid w:val="00A254FF"/>
    <w:rsid w:val="00A26073"/>
    <w:rsid w:val="00A263BF"/>
    <w:rsid w:val="00A26B93"/>
    <w:rsid w:val="00A27C0D"/>
    <w:rsid w:val="00A319A4"/>
    <w:rsid w:val="00A323EE"/>
    <w:rsid w:val="00A326E3"/>
    <w:rsid w:val="00A3359F"/>
    <w:rsid w:val="00A33795"/>
    <w:rsid w:val="00A3488A"/>
    <w:rsid w:val="00A34C34"/>
    <w:rsid w:val="00A34F97"/>
    <w:rsid w:val="00A3505F"/>
    <w:rsid w:val="00A35214"/>
    <w:rsid w:val="00A3673C"/>
    <w:rsid w:val="00A370F2"/>
    <w:rsid w:val="00A3779C"/>
    <w:rsid w:val="00A37C70"/>
    <w:rsid w:val="00A4097A"/>
    <w:rsid w:val="00A4211B"/>
    <w:rsid w:val="00A42D6D"/>
    <w:rsid w:val="00A42FF8"/>
    <w:rsid w:val="00A432FF"/>
    <w:rsid w:val="00A4338C"/>
    <w:rsid w:val="00A444C4"/>
    <w:rsid w:val="00A45173"/>
    <w:rsid w:val="00A45B1E"/>
    <w:rsid w:val="00A45D89"/>
    <w:rsid w:val="00A46018"/>
    <w:rsid w:val="00A46525"/>
    <w:rsid w:val="00A46C8A"/>
    <w:rsid w:val="00A471FF"/>
    <w:rsid w:val="00A47774"/>
    <w:rsid w:val="00A47D17"/>
    <w:rsid w:val="00A5017A"/>
    <w:rsid w:val="00A503DF"/>
    <w:rsid w:val="00A50E74"/>
    <w:rsid w:val="00A51376"/>
    <w:rsid w:val="00A5183F"/>
    <w:rsid w:val="00A51D92"/>
    <w:rsid w:val="00A52FA9"/>
    <w:rsid w:val="00A532AB"/>
    <w:rsid w:val="00A538AB"/>
    <w:rsid w:val="00A53B2E"/>
    <w:rsid w:val="00A53E2A"/>
    <w:rsid w:val="00A54479"/>
    <w:rsid w:val="00A54992"/>
    <w:rsid w:val="00A54F4A"/>
    <w:rsid w:val="00A5540B"/>
    <w:rsid w:val="00A56207"/>
    <w:rsid w:val="00A60F93"/>
    <w:rsid w:val="00A611C0"/>
    <w:rsid w:val="00A61DF8"/>
    <w:rsid w:val="00A62232"/>
    <w:rsid w:val="00A6272E"/>
    <w:rsid w:val="00A63583"/>
    <w:rsid w:val="00A63B66"/>
    <w:rsid w:val="00A6431E"/>
    <w:rsid w:val="00A647DD"/>
    <w:rsid w:val="00A64808"/>
    <w:rsid w:val="00A649D6"/>
    <w:rsid w:val="00A64D87"/>
    <w:rsid w:val="00A64F3F"/>
    <w:rsid w:val="00A6569F"/>
    <w:rsid w:val="00A65CB9"/>
    <w:rsid w:val="00A66631"/>
    <w:rsid w:val="00A66D70"/>
    <w:rsid w:val="00A66EA2"/>
    <w:rsid w:val="00A674B5"/>
    <w:rsid w:val="00A678E5"/>
    <w:rsid w:val="00A7062B"/>
    <w:rsid w:val="00A70D0B"/>
    <w:rsid w:val="00A70F63"/>
    <w:rsid w:val="00A71DF7"/>
    <w:rsid w:val="00A72214"/>
    <w:rsid w:val="00A7251A"/>
    <w:rsid w:val="00A741D6"/>
    <w:rsid w:val="00A745B5"/>
    <w:rsid w:val="00A749B2"/>
    <w:rsid w:val="00A75118"/>
    <w:rsid w:val="00A7512B"/>
    <w:rsid w:val="00A757B2"/>
    <w:rsid w:val="00A7581B"/>
    <w:rsid w:val="00A76551"/>
    <w:rsid w:val="00A76CEF"/>
    <w:rsid w:val="00A76D1C"/>
    <w:rsid w:val="00A76E15"/>
    <w:rsid w:val="00A77311"/>
    <w:rsid w:val="00A77464"/>
    <w:rsid w:val="00A77A82"/>
    <w:rsid w:val="00A80C68"/>
    <w:rsid w:val="00A8131D"/>
    <w:rsid w:val="00A8142E"/>
    <w:rsid w:val="00A816F2"/>
    <w:rsid w:val="00A8228C"/>
    <w:rsid w:val="00A823B7"/>
    <w:rsid w:val="00A823FE"/>
    <w:rsid w:val="00A824A9"/>
    <w:rsid w:val="00A82AC4"/>
    <w:rsid w:val="00A82B48"/>
    <w:rsid w:val="00A831A1"/>
    <w:rsid w:val="00A84300"/>
    <w:rsid w:val="00A8461C"/>
    <w:rsid w:val="00A8467F"/>
    <w:rsid w:val="00A854A9"/>
    <w:rsid w:val="00A8627B"/>
    <w:rsid w:val="00A86CA1"/>
    <w:rsid w:val="00A8738A"/>
    <w:rsid w:val="00A873EA"/>
    <w:rsid w:val="00A874C5"/>
    <w:rsid w:val="00A87889"/>
    <w:rsid w:val="00A9031A"/>
    <w:rsid w:val="00A909A3"/>
    <w:rsid w:val="00A90A8F"/>
    <w:rsid w:val="00A90A9E"/>
    <w:rsid w:val="00A91290"/>
    <w:rsid w:val="00A91876"/>
    <w:rsid w:val="00A91DB0"/>
    <w:rsid w:val="00A92710"/>
    <w:rsid w:val="00A9526B"/>
    <w:rsid w:val="00A9533F"/>
    <w:rsid w:val="00A96640"/>
    <w:rsid w:val="00A97C01"/>
    <w:rsid w:val="00AA0F06"/>
    <w:rsid w:val="00AA1801"/>
    <w:rsid w:val="00AA2D05"/>
    <w:rsid w:val="00AA2E1C"/>
    <w:rsid w:val="00AA2EE5"/>
    <w:rsid w:val="00AA356D"/>
    <w:rsid w:val="00AA3A52"/>
    <w:rsid w:val="00AA42EC"/>
    <w:rsid w:val="00AA49D0"/>
    <w:rsid w:val="00AA4B25"/>
    <w:rsid w:val="00AA4FE9"/>
    <w:rsid w:val="00AA535A"/>
    <w:rsid w:val="00AA6586"/>
    <w:rsid w:val="00AA68A6"/>
    <w:rsid w:val="00AA693A"/>
    <w:rsid w:val="00AA6F3F"/>
    <w:rsid w:val="00AA7A1D"/>
    <w:rsid w:val="00AB071D"/>
    <w:rsid w:val="00AB1A13"/>
    <w:rsid w:val="00AB1FFF"/>
    <w:rsid w:val="00AB2455"/>
    <w:rsid w:val="00AB2AB6"/>
    <w:rsid w:val="00AB2B19"/>
    <w:rsid w:val="00AB3CBA"/>
    <w:rsid w:val="00AB3F01"/>
    <w:rsid w:val="00AB3F4F"/>
    <w:rsid w:val="00AB4B7D"/>
    <w:rsid w:val="00AB4D1F"/>
    <w:rsid w:val="00AB569B"/>
    <w:rsid w:val="00AB5AF7"/>
    <w:rsid w:val="00AB5B8F"/>
    <w:rsid w:val="00AB5F48"/>
    <w:rsid w:val="00AB6D6A"/>
    <w:rsid w:val="00AC021D"/>
    <w:rsid w:val="00AC073D"/>
    <w:rsid w:val="00AC1099"/>
    <w:rsid w:val="00AC13FF"/>
    <w:rsid w:val="00AC1D3A"/>
    <w:rsid w:val="00AC1F97"/>
    <w:rsid w:val="00AC2475"/>
    <w:rsid w:val="00AC2622"/>
    <w:rsid w:val="00AC292D"/>
    <w:rsid w:val="00AC30D9"/>
    <w:rsid w:val="00AC30FE"/>
    <w:rsid w:val="00AC359F"/>
    <w:rsid w:val="00AC36DE"/>
    <w:rsid w:val="00AC4172"/>
    <w:rsid w:val="00AC52B0"/>
    <w:rsid w:val="00AC5405"/>
    <w:rsid w:val="00AC660F"/>
    <w:rsid w:val="00AC73FC"/>
    <w:rsid w:val="00AC74D0"/>
    <w:rsid w:val="00AD002D"/>
    <w:rsid w:val="00AD036E"/>
    <w:rsid w:val="00AD050E"/>
    <w:rsid w:val="00AD1289"/>
    <w:rsid w:val="00AD1F90"/>
    <w:rsid w:val="00AD27C0"/>
    <w:rsid w:val="00AD2F18"/>
    <w:rsid w:val="00AD3001"/>
    <w:rsid w:val="00AD4416"/>
    <w:rsid w:val="00AD5666"/>
    <w:rsid w:val="00AD58BE"/>
    <w:rsid w:val="00AD596F"/>
    <w:rsid w:val="00AD68FC"/>
    <w:rsid w:val="00AD7280"/>
    <w:rsid w:val="00AD7686"/>
    <w:rsid w:val="00AE0147"/>
    <w:rsid w:val="00AE0471"/>
    <w:rsid w:val="00AE0760"/>
    <w:rsid w:val="00AE0F81"/>
    <w:rsid w:val="00AE164F"/>
    <w:rsid w:val="00AE175E"/>
    <w:rsid w:val="00AE1D1F"/>
    <w:rsid w:val="00AE297C"/>
    <w:rsid w:val="00AE2D7C"/>
    <w:rsid w:val="00AE2F2E"/>
    <w:rsid w:val="00AE3A18"/>
    <w:rsid w:val="00AE4D42"/>
    <w:rsid w:val="00AE505F"/>
    <w:rsid w:val="00AE5A01"/>
    <w:rsid w:val="00AE6B2C"/>
    <w:rsid w:val="00AE6E6B"/>
    <w:rsid w:val="00AE70C8"/>
    <w:rsid w:val="00AE75A6"/>
    <w:rsid w:val="00AF0B95"/>
    <w:rsid w:val="00AF1BE1"/>
    <w:rsid w:val="00AF28A3"/>
    <w:rsid w:val="00AF3401"/>
    <w:rsid w:val="00AF42BA"/>
    <w:rsid w:val="00AF49EE"/>
    <w:rsid w:val="00AF63BD"/>
    <w:rsid w:val="00AF6982"/>
    <w:rsid w:val="00B006F3"/>
    <w:rsid w:val="00B01409"/>
    <w:rsid w:val="00B028C0"/>
    <w:rsid w:val="00B02B97"/>
    <w:rsid w:val="00B02DAD"/>
    <w:rsid w:val="00B03348"/>
    <w:rsid w:val="00B039B7"/>
    <w:rsid w:val="00B03E7E"/>
    <w:rsid w:val="00B048AC"/>
    <w:rsid w:val="00B04E25"/>
    <w:rsid w:val="00B04F8D"/>
    <w:rsid w:val="00B05238"/>
    <w:rsid w:val="00B05668"/>
    <w:rsid w:val="00B05873"/>
    <w:rsid w:val="00B058EE"/>
    <w:rsid w:val="00B05A02"/>
    <w:rsid w:val="00B05BF0"/>
    <w:rsid w:val="00B06D64"/>
    <w:rsid w:val="00B07923"/>
    <w:rsid w:val="00B07CC0"/>
    <w:rsid w:val="00B10935"/>
    <w:rsid w:val="00B1094A"/>
    <w:rsid w:val="00B10B51"/>
    <w:rsid w:val="00B10C89"/>
    <w:rsid w:val="00B11291"/>
    <w:rsid w:val="00B12261"/>
    <w:rsid w:val="00B12A40"/>
    <w:rsid w:val="00B12EE5"/>
    <w:rsid w:val="00B14787"/>
    <w:rsid w:val="00B14B0D"/>
    <w:rsid w:val="00B14F5E"/>
    <w:rsid w:val="00B15A1C"/>
    <w:rsid w:val="00B1621F"/>
    <w:rsid w:val="00B1799B"/>
    <w:rsid w:val="00B20B25"/>
    <w:rsid w:val="00B2152B"/>
    <w:rsid w:val="00B21913"/>
    <w:rsid w:val="00B21E84"/>
    <w:rsid w:val="00B2237D"/>
    <w:rsid w:val="00B23EB2"/>
    <w:rsid w:val="00B24707"/>
    <w:rsid w:val="00B254E5"/>
    <w:rsid w:val="00B25595"/>
    <w:rsid w:val="00B25922"/>
    <w:rsid w:val="00B25D69"/>
    <w:rsid w:val="00B2658D"/>
    <w:rsid w:val="00B2688F"/>
    <w:rsid w:val="00B2789E"/>
    <w:rsid w:val="00B3293B"/>
    <w:rsid w:val="00B32D8A"/>
    <w:rsid w:val="00B33058"/>
    <w:rsid w:val="00B334AB"/>
    <w:rsid w:val="00B340FC"/>
    <w:rsid w:val="00B3440C"/>
    <w:rsid w:val="00B34915"/>
    <w:rsid w:val="00B34DE4"/>
    <w:rsid w:val="00B34E4A"/>
    <w:rsid w:val="00B34EED"/>
    <w:rsid w:val="00B354A6"/>
    <w:rsid w:val="00B35BE2"/>
    <w:rsid w:val="00B37426"/>
    <w:rsid w:val="00B37482"/>
    <w:rsid w:val="00B374FD"/>
    <w:rsid w:val="00B4025D"/>
    <w:rsid w:val="00B40444"/>
    <w:rsid w:val="00B4094E"/>
    <w:rsid w:val="00B4149A"/>
    <w:rsid w:val="00B42B14"/>
    <w:rsid w:val="00B42BC6"/>
    <w:rsid w:val="00B42C70"/>
    <w:rsid w:val="00B430C8"/>
    <w:rsid w:val="00B43174"/>
    <w:rsid w:val="00B4326E"/>
    <w:rsid w:val="00B4388C"/>
    <w:rsid w:val="00B43C2A"/>
    <w:rsid w:val="00B44D43"/>
    <w:rsid w:val="00B45393"/>
    <w:rsid w:val="00B45EDE"/>
    <w:rsid w:val="00B463AB"/>
    <w:rsid w:val="00B46494"/>
    <w:rsid w:val="00B467F2"/>
    <w:rsid w:val="00B47658"/>
    <w:rsid w:val="00B47832"/>
    <w:rsid w:val="00B47E62"/>
    <w:rsid w:val="00B47EE2"/>
    <w:rsid w:val="00B50285"/>
    <w:rsid w:val="00B50CD4"/>
    <w:rsid w:val="00B50E11"/>
    <w:rsid w:val="00B50FCD"/>
    <w:rsid w:val="00B519AC"/>
    <w:rsid w:val="00B51A6A"/>
    <w:rsid w:val="00B52244"/>
    <w:rsid w:val="00B52565"/>
    <w:rsid w:val="00B52AC0"/>
    <w:rsid w:val="00B531A4"/>
    <w:rsid w:val="00B5394F"/>
    <w:rsid w:val="00B543D3"/>
    <w:rsid w:val="00B54C62"/>
    <w:rsid w:val="00B56275"/>
    <w:rsid w:val="00B56972"/>
    <w:rsid w:val="00B5774E"/>
    <w:rsid w:val="00B57A1A"/>
    <w:rsid w:val="00B601EC"/>
    <w:rsid w:val="00B6153E"/>
    <w:rsid w:val="00B6184A"/>
    <w:rsid w:val="00B620B1"/>
    <w:rsid w:val="00B62119"/>
    <w:rsid w:val="00B62322"/>
    <w:rsid w:val="00B62660"/>
    <w:rsid w:val="00B62B64"/>
    <w:rsid w:val="00B63685"/>
    <w:rsid w:val="00B63841"/>
    <w:rsid w:val="00B63871"/>
    <w:rsid w:val="00B63B71"/>
    <w:rsid w:val="00B63C1E"/>
    <w:rsid w:val="00B64283"/>
    <w:rsid w:val="00B64465"/>
    <w:rsid w:val="00B64ACF"/>
    <w:rsid w:val="00B65A20"/>
    <w:rsid w:val="00B6603B"/>
    <w:rsid w:val="00B66585"/>
    <w:rsid w:val="00B67744"/>
    <w:rsid w:val="00B6797E"/>
    <w:rsid w:val="00B70A2F"/>
    <w:rsid w:val="00B7136C"/>
    <w:rsid w:val="00B71548"/>
    <w:rsid w:val="00B71987"/>
    <w:rsid w:val="00B71C25"/>
    <w:rsid w:val="00B72C45"/>
    <w:rsid w:val="00B73222"/>
    <w:rsid w:val="00B73673"/>
    <w:rsid w:val="00B74620"/>
    <w:rsid w:val="00B74F66"/>
    <w:rsid w:val="00B75BA4"/>
    <w:rsid w:val="00B76ABA"/>
    <w:rsid w:val="00B80CF6"/>
    <w:rsid w:val="00B834E4"/>
    <w:rsid w:val="00B844AF"/>
    <w:rsid w:val="00B84C56"/>
    <w:rsid w:val="00B84D5D"/>
    <w:rsid w:val="00B86BAE"/>
    <w:rsid w:val="00B876F0"/>
    <w:rsid w:val="00B900E5"/>
    <w:rsid w:val="00B9011E"/>
    <w:rsid w:val="00B9068E"/>
    <w:rsid w:val="00B909AE"/>
    <w:rsid w:val="00B916F1"/>
    <w:rsid w:val="00B91BB1"/>
    <w:rsid w:val="00B929F9"/>
    <w:rsid w:val="00B94338"/>
    <w:rsid w:val="00B960DC"/>
    <w:rsid w:val="00B96913"/>
    <w:rsid w:val="00B96A80"/>
    <w:rsid w:val="00B9744B"/>
    <w:rsid w:val="00BA0107"/>
    <w:rsid w:val="00BA0F10"/>
    <w:rsid w:val="00BA166A"/>
    <w:rsid w:val="00BA18E4"/>
    <w:rsid w:val="00BA36B1"/>
    <w:rsid w:val="00BA3838"/>
    <w:rsid w:val="00BA47BB"/>
    <w:rsid w:val="00BA5253"/>
    <w:rsid w:val="00BA5654"/>
    <w:rsid w:val="00BA5D39"/>
    <w:rsid w:val="00BA619A"/>
    <w:rsid w:val="00BA679A"/>
    <w:rsid w:val="00BA70BB"/>
    <w:rsid w:val="00BB0ED5"/>
    <w:rsid w:val="00BB1BC6"/>
    <w:rsid w:val="00BB2613"/>
    <w:rsid w:val="00BB2889"/>
    <w:rsid w:val="00BB2D68"/>
    <w:rsid w:val="00BB2D6D"/>
    <w:rsid w:val="00BB302D"/>
    <w:rsid w:val="00BB397F"/>
    <w:rsid w:val="00BB3E95"/>
    <w:rsid w:val="00BB41F4"/>
    <w:rsid w:val="00BB5320"/>
    <w:rsid w:val="00BB571B"/>
    <w:rsid w:val="00BB5B5B"/>
    <w:rsid w:val="00BB5C69"/>
    <w:rsid w:val="00BB6206"/>
    <w:rsid w:val="00BB72C3"/>
    <w:rsid w:val="00BC1129"/>
    <w:rsid w:val="00BC2637"/>
    <w:rsid w:val="00BC2FFC"/>
    <w:rsid w:val="00BC3D38"/>
    <w:rsid w:val="00BC3ECA"/>
    <w:rsid w:val="00BC4BD3"/>
    <w:rsid w:val="00BC5C8E"/>
    <w:rsid w:val="00BC6718"/>
    <w:rsid w:val="00BC7D11"/>
    <w:rsid w:val="00BC7DFB"/>
    <w:rsid w:val="00BD06E8"/>
    <w:rsid w:val="00BD1300"/>
    <w:rsid w:val="00BD16D4"/>
    <w:rsid w:val="00BD1B48"/>
    <w:rsid w:val="00BD1BC7"/>
    <w:rsid w:val="00BD2899"/>
    <w:rsid w:val="00BD4665"/>
    <w:rsid w:val="00BD4B55"/>
    <w:rsid w:val="00BD51C9"/>
    <w:rsid w:val="00BD7EE2"/>
    <w:rsid w:val="00BD7FE8"/>
    <w:rsid w:val="00BE05AA"/>
    <w:rsid w:val="00BE0A1F"/>
    <w:rsid w:val="00BE1328"/>
    <w:rsid w:val="00BE1738"/>
    <w:rsid w:val="00BE2028"/>
    <w:rsid w:val="00BE23A7"/>
    <w:rsid w:val="00BE2E18"/>
    <w:rsid w:val="00BE4A3D"/>
    <w:rsid w:val="00BE5687"/>
    <w:rsid w:val="00BE719C"/>
    <w:rsid w:val="00BE7551"/>
    <w:rsid w:val="00BE7F33"/>
    <w:rsid w:val="00BF0D15"/>
    <w:rsid w:val="00BF0F4E"/>
    <w:rsid w:val="00BF14BB"/>
    <w:rsid w:val="00BF16DE"/>
    <w:rsid w:val="00BF1C65"/>
    <w:rsid w:val="00BF1CE7"/>
    <w:rsid w:val="00BF2D21"/>
    <w:rsid w:val="00BF3FDA"/>
    <w:rsid w:val="00BF4833"/>
    <w:rsid w:val="00BF4B70"/>
    <w:rsid w:val="00BF510A"/>
    <w:rsid w:val="00BF5208"/>
    <w:rsid w:val="00BF54F2"/>
    <w:rsid w:val="00BF5CE4"/>
    <w:rsid w:val="00BF69D0"/>
    <w:rsid w:val="00BF6F3C"/>
    <w:rsid w:val="00BF7325"/>
    <w:rsid w:val="00BF73E3"/>
    <w:rsid w:val="00BF7557"/>
    <w:rsid w:val="00C004F7"/>
    <w:rsid w:val="00C00B0C"/>
    <w:rsid w:val="00C00FF2"/>
    <w:rsid w:val="00C010DF"/>
    <w:rsid w:val="00C014B7"/>
    <w:rsid w:val="00C01B97"/>
    <w:rsid w:val="00C01CFA"/>
    <w:rsid w:val="00C02B5B"/>
    <w:rsid w:val="00C03051"/>
    <w:rsid w:val="00C0321C"/>
    <w:rsid w:val="00C04CD9"/>
    <w:rsid w:val="00C05996"/>
    <w:rsid w:val="00C05A2C"/>
    <w:rsid w:val="00C062C7"/>
    <w:rsid w:val="00C06637"/>
    <w:rsid w:val="00C06A48"/>
    <w:rsid w:val="00C06B1F"/>
    <w:rsid w:val="00C07554"/>
    <w:rsid w:val="00C078B5"/>
    <w:rsid w:val="00C10CF6"/>
    <w:rsid w:val="00C11094"/>
    <w:rsid w:val="00C116B8"/>
    <w:rsid w:val="00C13053"/>
    <w:rsid w:val="00C13CCF"/>
    <w:rsid w:val="00C1461E"/>
    <w:rsid w:val="00C14EDB"/>
    <w:rsid w:val="00C14F07"/>
    <w:rsid w:val="00C14F7E"/>
    <w:rsid w:val="00C151BF"/>
    <w:rsid w:val="00C15AD2"/>
    <w:rsid w:val="00C15DC1"/>
    <w:rsid w:val="00C1626B"/>
    <w:rsid w:val="00C16310"/>
    <w:rsid w:val="00C16E9F"/>
    <w:rsid w:val="00C17E69"/>
    <w:rsid w:val="00C20655"/>
    <w:rsid w:val="00C2149D"/>
    <w:rsid w:val="00C21EEE"/>
    <w:rsid w:val="00C22498"/>
    <w:rsid w:val="00C23BC4"/>
    <w:rsid w:val="00C23FFA"/>
    <w:rsid w:val="00C2495E"/>
    <w:rsid w:val="00C251A1"/>
    <w:rsid w:val="00C26663"/>
    <w:rsid w:val="00C26AFA"/>
    <w:rsid w:val="00C27580"/>
    <w:rsid w:val="00C276FB"/>
    <w:rsid w:val="00C27F70"/>
    <w:rsid w:val="00C2FD78"/>
    <w:rsid w:val="00C308A6"/>
    <w:rsid w:val="00C30FA3"/>
    <w:rsid w:val="00C31371"/>
    <w:rsid w:val="00C31B66"/>
    <w:rsid w:val="00C3269D"/>
    <w:rsid w:val="00C33649"/>
    <w:rsid w:val="00C34136"/>
    <w:rsid w:val="00C35046"/>
    <w:rsid w:val="00C35075"/>
    <w:rsid w:val="00C35511"/>
    <w:rsid w:val="00C35B13"/>
    <w:rsid w:val="00C36317"/>
    <w:rsid w:val="00C3686D"/>
    <w:rsid w:val="00C36F9C"/>
    <w:rsid w:val="00C3744F"/>
    <w:rsid w:val="00C37DBB"/>
    <w:rsid w:val="00C40E98"/>
    <w:rsid w:val="00C412CA"/>
    <w:rsid w:val="00C4159F"/>
    <w:rsid w:val="00C418AC"/>
    <w:rsid w:val="00C43053"/>
    <w:rsid w:val="00C43A8D"/>
    <w:rsid w:val="00C43D58"/>
    <w:rsid w:val="00C43E7C"/>
    <w:rsid w:val="00C4409B"/>
    <w:rsid w:val="00C46541"/>
    <w:rsid w:val="00C4656C"/>
    <w:rsid w:val="00C466DA"/>
    <w:rsid w:val="00C46D90"/>
    <w:rsid w:val="00C4702B"/>
    <w:rsid w:val="00C47936"/>
    <w:rsid w:val="00C50129"/>
    <w:rsid w:val="00C509AF"/>
    <w:rsid w:val="00C510F6"/>
    <w:rsid w:val="00C52666"/>
    <w:rsid w:val="00C52A22"/>
    <w:rsid w:val="00C52BAA"/>
    <w:rsid w:val="00C53587"/>
    <w:rsid w:val="00C5378D"/>
    <w:rsid w:val="00C53923"/>
    <w:rsid w:val="00C54209"/>
    <w:rsid w:val="00C55E72"/>
    <w:rsid w:val="00C56175"/>
    <w:rsid w:val="00C56E24"/>
    <w:rsid w:val="00C57BD5"/>
    <w:rsid w:val="00C57C38"/>
    <w:rsid w:val="00C610DC"/>
    <w:rsid w:val="00C6114D"/>
    <w:rsid w:val="00C613A7"/>
    <w:rsid w:val="00C614DC"/>
    <w:rsid w:val="00C615D5"/>
    <w:rsid w:val="00C62423"/>
    <w:rsid w:val="00C6284C"/>
    <w:rsid w:val="00C63583"/>
    <w:rsid w:val="00C63BE8"/>
    <w:rsid w:val="00C64FAA"/>
    <w:rsid w:val="00C65E59"/>
    <w:rsid w:val="00C66698"/>
    <w:rsid w:val="00C7083C"/>
    <w:rsid w:val="00C70D11"/>
    <w:rsid w:val="00C717B1"/>
    <w:rsid w:val="00C72E23"/>
    <w:rsid w:val="00C734F3"/>
    <w:rsid w:val="00C737FF"/>
    <w:rsid w:val="00C73FAC"/>
    <w:rsid w:val="00C74AE5"/>
    <w:rsid w:val="00C74D97"/>
    <w:rsid w:val="00C7544A"/>
    <w:rsid w:val="00C75683"/>
    <w:rsid w:val="00C7593D"/>
    <w:rsid w:val="00C76AD1"/>
    <w:rsid w:val="00C76F41"/>
    <w:rsid w:val="00C77CDB"/>
    <w:rsid w:val="00C803DE"/>
    <w:rsid w:val="00C822F5"/>
    <w:rsid w:val="00C8296A"/>
    <w:rsid w:val="00C82B5F"/>
    <w:rsid w:val="00C82D15"/>
    <w:rsid w:val="00C83E51"/>
    <w:rsid w:val="00C83EED"/>
    <w:rsid w:val="00C84F7C"/>
    <w:rsid w:val="00C856DF"/>
    <w:rsid w:val="00C86006"/>
    <w:rsid w:val="00C863A9"/>
    <w:rsid w:val="00C86660"/>
    <w:rsid w:val="00C86A17"/>
    <w:rsid w:val="00C86D38"/>
    <w:rsid w:val="00C87B03"/>
    <w:rsid w:val="00C87E17"/>
    <w:rsid w:val="00C90AED"/>
    <w:rsid w:val="00C912BF"/>
    <w:rsid w:val="00C916AA"/>
    <w:rsid w:val="00C91A61"/>
    <w:rsid w:val="00C92C5F"/>
    <w:rsid w:val="00C9402E"/>
    <w:rsid w:val="00C94B41"/>
    <w:rsid w:val="00C95154"/>
    <w:rsid w:val="00C95563"/>
    <w:rsid w:val="00C95804"/>
    <w:rsid w:val="00C96B52"/>
    <w:rsid w:val="00C96CAC"/>
    <w:rsid w:val="00CA1EC1"/>
    <w:rsid w:val="00CA2270"/>
    <w:rsid w:val="00CA29A8"/>
    <w:rsid w:val="00CA2A2B"/>
    <w:rsid w:val="00CA3051"/>
    <w:rsid w:val="00CA4508"/>
    <w:rsid w:val="00CA45E9"/>
    <w:rsid w:val="00CA4B15"/>
    <w:rsid w:val="00CA4E2F"/>
    <w:rsid w:val="00CA5571"/>
    <w:rsid w:val="00CA5739"/>
    <w:rsid w:val="00CA6332"/>
    <w:rsid w:val="00CA7C0F"/>
    <w:rsid w:val="00CB0086"/>
    <w:rsid w:val="00CB1EAE"/>
    <w:rsid w:val="00CB2A41"/>
    <w:rsid w:val="00CB323A"/>
    <w:rsid w:val="00CB3672"/>
    <w:rsid w:val="00CB3B4A"/>
    <w:rsid w:val="00CB4348"/>
    <w:rsid w:val="00CB4BA8"/>
    <w:rsid w:val="00CB656B"/>
    <w:rsid w:val="00CB7047"/>
    <w:rsid w:val="00CB7856"/>
    <w:rsid w:val="00CB7F5C"/>
    <w:rsid w:val="00CC03CE"/>
    <w:rsid w:val="00CC0B0B"/>
    <w:rsid w:val="00CC0FE2"/>
    <w:rsid w:val="00CC10BD"/>
    <w:rsid w:val="00CC17F6"/>
    <w:rsid w:val="00CC24C9"/>
    <w:rsid w:val="00CC2543"/>
    <w:rsid w:val="00CC34D1"/>
    <w:rsid w:val="00CC3E8B"/>
    <w:rsid w:val="00CC412D"/>
    <w:rsid w:val="00CC4229"/>
    <w:rsid w:val="00CC4323"/>
    <w:rsid w:val="00CC4AB3"/>
    <w:rsid w:val="00CC53A2"/>
    <w:rsid w:val="00CC60B3"/>
    <w:rsid w:val="00CC6B2F"/>
    <w:rsid w:val="00CC6B9D"/>
    <w:rsid w:val="00CC6EA5"/>
    <w:rsid w:val="00CC7C9C"/>
    <w:rsid w:val="00CD0181"/>
    <w:rsid w:val="00CD0301"/>
    <w:rsid w:val="00CD0EA8"/>
    <w:rsid w:val="00CD1B1C"/>
    <w:rsid w:val="00CD1F46"/>
    <w:rsid w:val="00CD23B6"/>
    <w:rsid w:val="00CD2F0C"/>
    <w:rsid w:val="00CD302C"/>
    <w:rsid w:val="00CD3309"/>
    <w:rsid w:val="00CD35E8"/>
    <w:rsid w:val="00CD37A4"/>
    <w:rsid w:val="00CD37CA"/>
    <w:rsid w:val="00CD3817"/>
    <w:rsid w:val="00CD3D78"/>
    <w:rsid w:val="00CD446C"/>
    <w:rsid w:val="00CD6D1F"/>
    <w:rsid w:val="00CD6F7C"/>
    <w:rsid w:val="00CD7542"/>
    <w:rsid w:val="00CD7645"/>
    <w:rsid w:val="00CD7E53"/>
    <w:rsid w:val="00CD7F89"/>
    <w:rsid w:val="00CE078D"/>
    <w:rsid w:val="00CE1579"/>
    <w:rsid w:val="00CE1660"/>
    <w:rsid w:val="00CE26C8"/>
    <w:rsid w:val="00CE2725"/>
    <w:rsid w:val="00CE3409"/>
    <w:rsid w:val="00CE3BB1"/>
    <w:rsid w:val="00CE3FF5"/>
    <w:rsid w:val="00CE42FB"/>
    <w:rsid w:val="00CE4388"/>
    <w:rsid w:val="00CE4AE3"/>
    <w:rsid w:val="00CE4F99"/>
    <w:rsid w:val="00CE5D57"/>
    <w:rsid w:val="00CE601C"/>
    <w:rsid w:val="00CE62B0"/>
    <w:rsid w:val="00CE696F"/>
    <w:rsid w:val="00CE6A17"/>
    <w:rsid w:val="00CE6BD1"/>
    <w:rsid w:val="00CE6C03"/>
    <w:rsid w:val="00CE7C28"/>
    <w:rsid w:val="00CE7C2F"/>
    <w:rsid w:val="00CF079D"/>
    <w:rsid w:val="00CF0FB0"/>
    <w:rsid w:val="00CF213F"/>
    <w:rsid w:val="00CF2331"/>
    <w:rsid w:val="00CF2D3E"/>
    <w:rsid w:val="00CF440E"/>
    <w:rsid w:val="00CF4E62"/>
    <w:rsid w:val="00CF5521"/>
    <w:rsid w:val="00CF5C6E"/>
    <w:rsid w:val="00CF5CFF"/>
    <w:rsid w:val="00CF5E9A"/>
    <w:rsid w:val="00CF5EF3"/>
    <w:rsid w:val="00CF632A"/>
    <w:rsid w:val="00CF6367"/>
    <w:rsid w:val="00CF746A"/>
    <w:rsid w:val="00CF7D4B"/>
    <w:rsid w:val="00CF7E1E"/>
    <w:rsid w:val="00D0103A"/>
    <w:rsid w:val="00D010FA"/>
    <w:rsid w:val="00D01E86"/>
    <w:rsid w:val="00D031D8"/>
    <w:rsid w:val="00D035AB"/>
    <w:rsid w:val="00D03F6B"/>
    <w:rsid w:val="00D04596"/>
    <w:rsid w:val="00D04C2B"/>
    <w:rsid w:val="00D05927"/>
    <w:rsid w:val="00D05DF6"/>
    <w:rsid w:val="00D06787"/>
    <w:rsid w:val="00D06F12"/>
    <w:rsid w:val="00D06FFE"/>
    <w:rsid w:val="00D07866"/>
    <w:rsid w:val="00D07996"/>
    <w:rsid w:val="00D07C8A"/>
    <w:rsid w:val="00D103F2"/>
    <w:rsid w:val="00D11851"/>
    <w:rsid w:val="00D11BAD"/>
    <w:rsid w:val="00D11CE1"/>
    <w:rsid w:val="00D12356"/>
    <w:rsid w:val="00D12C02"/>
    <w:rsid w:val="00D13778"/>
    <w:rsid w:val="00D1425E"/>
    <w:rsid w:val="00D1433D"/>
    <w:rsid w:val="00D147FE"/>
    <w:rsid w:val="00D14BDB"/>
    <w:rsid w:val="00D14C4E"/>
    <w:rsid w:val="00D14EAC"/>
    <w:rsid w:val="00D1554C"/>
    <w:rsid w:val="00D16801"/>
    <w:rsid w:val="00D16DEF"/>
    <w:rsid w:val="00D2033D"/>
    <w:rsid w:val="00D21405"/>
    <w:rsid w:val="00D21DDC"/>
    <w:rsid w:val="00D22F56"/>
    <w:rsid w:val="00D2388A"/>
    <w:rsid w:val="00D23A80"/>
    <w:rsid w:val="00D23F12"/>
    <w:rsid w:val="00D2417D"/>
    <w:rsid w:val="00D24A1F"/>
    <w:rsid w:val="00D24F54"/>
    <w:rsid w:val="00D252C4"/>
    <w:rsid w:val="00D268AA"/>
    <w:rsid w:val="00D27909"/>
    <w:rsid w:val="00D30452"/>
    <w:rsid w:val="00D3051C"/>
    <w:rsid w:val="00D30587"/>
    <w:rsid w:val="00D30D09"/>
    <w:rsid w:val="00D30EC4"/>
    <w:rsid w:val="00D3101E"/>
    <w:rsid w:val="00D31047"/>
    <w:rsid w:val="00D31421"/>
    <w:rsid w:val="00D31FC5"/>
    <w:rsid w:val="00D32210"/>
    <w:rsid w:val="00D33100"/>
    <w:rsid w:val="00D33EE5"/>
    <w:rsid w:val="00D34416"/>
    <w:rsid w:val="00D35377"/>
    <w:rsid w:val="00D3586E"/>
    <w:rsid w:val="00D3BEAB"/>
    <w:rsid w:val="00D40F8C"/>
    <w:rsid w:val="00D4130C"/>
    <w:rsid w:val="00D43854"/>
    <w:rsid w:val="00D43CB6"/>
    <w:rsid w:val="00D43E26"/>
    <w:rsid w:val="00D45138"/>
    <w:rsid w:val="00D45DD5"/>
    <w:rsid w:val="00D46D75"/>
    <w:rsid w:val="00D47122"/>
    <w:rsid w:val="00D50015"/>
    <w:rsid w:val="00D5007C"/>
    <w:rsid w:val="00D5101B"/>
    <w:rsid w:val="00D527F5"/>
    <w:rsid w:val="00D52CD9"/>
    <w:rsid w:val="00D53161"/>
    <w:rsid w:val="00D531C5"/>
    <w:rsid w:val="00D53AA5"/>
    <w:rsid w:val="00D55655"/>
    <w:rsid w:val="00D55DDF"/>
    <w:rsid w:val="00D56093"/>
    <w:rsid w:val="00D56401"/>
    <w:rsid w:val="00D56659"/>
    <w:rsid w:val="00D57282"/>
    <w:rsid w:val="00D579CE"/>
    <w:rsid w:val="00D608BC"/>
    <w:rsid w:val="00D60C2D"/>
    <w:rsid w:val="00D621D6"/>
    <w:rsid w:val="00D63058"/>
    <w:rsid w:val="00D63735"/>
    <w:rsid w:val="00D63BAD"/>
    <w:rsid w:val="00D648B1"/>
    <w:rsid w:val="00D651DE"/>
    <w:rsid w:val="00D65CC5"/>
    <w:rsid w:val="00D66B20"/>
    <w:rsid w:val="00D66EB8"/>
    <w:rsid w:val="00D67A37"/>
    <w:rsid w:val="00D67F40"/>
    <w:rsid w:val="00D70050"/>
    <w:rsid w:val="00D704AE"/>
    <w:rsid w:val="00D705D9"/>
    <w:rsid w:val="00D71128"/>
    <w:rsid w:val="00D71E5F"/>
    <w:rsid w:val="00D722BC"/>
    <w:rsid w:val="00D725F1"/>
    <w:rsid w:val="00D73339"/>
    <w:rsid w:val="00D73887"/>
    <w:rsid w:val="00D74D00"/>
    <w:rsid w:val="00D75798"/>
    <w:rsid w:val="00D760DD"/>
    <w:rsid w:val="00D811DA"/>
    <w:rsid w:val="00D81D27"/>
    <w:rsid w:val="00D81E65"/>
    <w:rsid w:val="00D82A97"/>
    <w:rsid w:val="00D83933"/>
    <w:rsid w:val="00D844A5"/>
    <w:rsid w:val="00D84681"/>
    <w:rsid w:val="00D84DB7"/>
    <w:rsid w:val="00D84F7B"/>
    <w:rsid w:val="00D86248"/>
    <w:rsid w:val="00D863EB"/>
    <w:rsid w:val="00D87242"/>
    <w:rsid w:val="00D87302"/>
    <w:rsid w:val="00D8759B"/>
    <w:rsid w:val="00D876A4"/>
    <w:rsid w:val="00D879F6"/>
    <w:rsid w:val="00D87B3F"/>
    <w:rsid w:val="00D87B50"/>
    <w:rsid w:val="00D87E04"/>
    <w:rsid w:val="00D87E1A"/>
    <w:rsid w:val="00D87E23"/>
    <w:rsid w:val="00D90841"/>
    <w:rsid w:val="00D9168E"/>
    <w:rsid w:val="00D91875"/>
    <w:rsid w:val="00D91A0A"/>
    <w:rsid w:val="00D91BF6"/>
    <w:rsid w:val="00D92A06"/>
    <w:rsid w:val="00D92E9B"/>
    <w:rsid w:val="00D933A7"/>
    <w:rsid w:val="00D944D6"/>
    <w:rsid w:val="00D94865"/>
    <w:rsid w:val="00D94884"/>
    <w:rsid w:val="00D94E1C"/>
    <w:rsid w:val="00D96925"/>
    <w:rsid w:val="00D96CA6"/>
    <w:rsid w:val="00D976FA"/>
    <w:rsid w:val="00D977ED"/>
    <w:rsid w:val="00D97FAE"/>
    <w:rsid w:val="00DA0025"/>
    <w:rsid w:val="00DA08EC"/>
    <w:rsid w:val="00DA0CDE"/>
    <w:rsid w:val="00DA100C"/>
    <w:rsid w:val="00DA1629"/>
    <w:rsid w:val="00DA1EFD"/>
    <w:rsid w:val="00DA2CF8"/>
    <w:rsid w:val="00DA2DBA"/>
    <w:rsid w:val="00DA32E6"/>
    <w:rsid w:val="00DA32ED"/>
    <w:rsid w:val="00DA36F5"/>
    <w:rsid w:val="00DA39B5"/>
    <w:rsid w:val="00DA3AC4"/>
    <w:rsid w:val="00DA3BBA"/>
    <w:rsid w:val="00DA3EF8"/>
    <w:rsid w:val="00DA4223"/>
    <w:rsid w:val="00DA4BD9"/>
    <w:rsid w:val="00DA50F8"/>
    <w:rsid w:val="00DB04F2"/>
    <w:rsid w:val="00DB078C"/>
    <w:rsid w:val="00DB17FE"/>
    <w:rsid w:val="00DB1B15"/>
    <w:rsid w:val="00DB286D"/>
    <w:rsid w:val="00DB3AA2"/>
    <w:rsid w:val="00DB3EAD"/>
    <w:rsid w:val="00DB5ADB"/>
    <w:rsid w:val="00DB604E"/>
    <w:rsid w:val="00DB733A"/>
    <w:rsid w:val="00DB7EDC"/>
    <w:rsid w:val="00DC0702"/>
    <w:rsid w:val="00DC0C87"/>
    <w:rsid w:val="00DC2378"/>
    <w:rsid w:val="00DC3BA8"/>
    <w:rsid w:val="00DC3F8D"/>
    <w:rsid w:val="00DC58B2"/>
    <w:rsid w:val="00DC5A9B"/>
    <w:rsid w:val="00DC6C75"/>
    <w:rsid w:val="00DC6DA4"/>
    <w:rsid w:val="00DC7AF4"/>
    <w:rsid w:val="00DD0051"/>
    <w:rsid w:val="00DD0081"/>
    <w:rsid w:val="00DD0784"/>
    <w:rsid w:val="00DD14D5"/>
    <w:rsid w:val="00DD1FCB"/>
    <w:rsid w:val="00DD40B3"/>
    <w:rsid w:val="00DD4103"/>
    <w:rsid w:val="00DD4D8D"/>
    <w:rsid w:val="00DD4E12"/>
    <w:rsid w:val="00DD539A"/>
    <w:rsid w:val="00DD6201"/>
    <w:rsid w:val="00DD65E0"/>
    <w:rsid w:val="00DD6B84"/>
    <w:rsid w:val="00DD7D0E"/>
    <w:rsid w:val="00DD7DBD"/>
    <w:rsid w:val="00DE081A"/>
    <w:rsid w:val="00DE0E68"/>
    <w:rsid w:val="00DE19C0"/>
    <w:rsid w:val="00DE2746"/>
    <w:rsid w:val="00DE291B"/>
    <w:rsid w:val="00DE2DE3"/>
    <w:rsid w:val="00DE3008"/>
    <w:rsid w:val="00DE3136"/>
    <w:rsid w:val="00DE376B"/>
    <w:rsid w:val="00DE39B5"/>
    <w:rsid w:val="00DE4295"/>
    <w:rsid w:val="00DE5D61"/>
    <w:rsid w:val="00DE5FDE"/>
    <w:rsid w:val="00DE6033"/>
    <w:rsid w:val="00DE615F"/>
    <w:rsid w:val="00DE6A90"/>
    <w:rsid w:val="00DE6CE5"/>
    <w:rsid w:val="00DE79B5"/>
    <w:rsid w:val="00DF00D5"/>
    <w:rsid w:val="00DF079C"/>
    <w:rsid w:val="00DF0DCC"/>
    <w:rsid w:val="00DF1043"/>
    <w:rsid w:val="00DF1073"/>
    <w:rsid w:val="00DF116A"/>
    <w:rsid w:val="00DF163F"/>
    <w:rsid w:val="00DF1A95"/>
    <w:rsid w:val="00DF1C89"/>
    <w:rsid w:val="00DF355F"/>
    <w:rsid w:val="00DF4180"/>
    <w:rsid w:val="00DF5431"/>
    <w:rsid w:val="00DF5516"/>
    <w:rsid w:val="00DF63D7"/>
    <w:rsid w:val="00DF7D5B"/>
    <w:rsid w:val="00DF7DDA"/>
    <w:rsid w:val="00E00202"/>
    <w:rsid w:val="00E00590"/>
    <w:rsid w:val="00E008E7"/>
    <w:rsid w:val="00E00A2F"/>
    <w:rsid w:val="00E00AEE"/>
    <w:rsid w:val="00E00D7A"/>
    <w:rsid w:val="00E01733"/>
    <w:rsid w:val="00E01767"/>
    <w:rsid w:val="00E0183D"/>
    <w:rsid w:val="00E02889"/>
    <w:rsid w:val="00E03006"/>
    <w:rsid w:val="00E039B1"/>
    <w:rsid w:val="00E03B53"/>
    <w:rsid w:val="00E04BFB"/>
    <w:rsid w:val="00E05184"/>
    <w:rsid w:val="00E0563C"/>
    <w:rsid w:val="00E058A0"/>
    <w:rsid w:val="00E05FDE"/>
    <w:rsid w:val="00E066EE"/>
    <w:rsid w:val="00E07803"/>
    <w:rsid w:val="00E10188"/>
    <w:rsid w:val="00E11507"/>
    <w:rsid w:val="00E136B9"/>
    <w:rsid w:val="00E13FFE"/>
    <w:rsid w:val="00E1400B"/>
    <w:rsid w:val="00E1469C"/>
    <w:rsid w:val="00E147A9"/>
    <w:rsid w:val="00E148A8"/>
    <w:rsid w:val="00E14B1E"/>
    <w:rsid w:val="00E14F5A"/>
    <w:rsid w:val="00E150DB"/>
    <w:rsid w:val="00E16A04"/>
    <w:rsid w:val="00E208C9"/>
    <w:rsid w:val="00E20A89"/>
    <w:rsid w:val="00E21B27"/>
    <w:rsid w:val="00E21CB9"/>
    <w:rsid w:val="00E21CC1"/>
    <w:rsid w:val="00E22F54"/>
    <w:rsid w:val="00E23004"/>
    <w:rsid w:val="00E2307B"/>
    <w:rsid w:val="00E23B90"/>
    <w:rsid w:val="00E23E77"/>
    <w:rsid w:val="00E23F1E"/>
    <w:rsid w:val="00E24620"/>
    <w:rsid w:val="00E2484F"/>
    <w:rsid w:val="00E2588B"/>
    <w:rsid w:val="00E25EB7"/>
    <w:rsid w:val="00E2666A"/>
    <w:rsid w:val="00E275DC"/>
    <w:rsid w:val="00E31973"/>
    <w:rsid w:val="00E31B7C"/>
    <w:rsid w:val="00E332C0"/>
    <w:rsid w:val="00E3379D"/>
    <w:rsid w:val="00E337C7"/>
    <w:rsid w:val="00E337FF"/>
    <w:rsid w:val="00E34565"/>
    <w:rsid w:val="00E346BB"/>
    <w:rsid w:val="00E35772"/>
    <w:rsid w:val="00E358EE"/>
    <w:rsid w:val="00E377AD"/>
    <w:rsid w:val="00E378A9"/>
    <w:rsid w:val="00E4048B"/>
    <w:rsid w:val="00E406EF"/>
    <w:rsid w:val="00E41397"/>
    <w:rsid w:val="00E4155A"/>
    <w:rsid w:val="00E41908"/>
    <w:rsid w:val="00E41C5E"/>
    <w:rsid w:val="00E41CE3"/>
    <w:rsid w:val="00E42D4D"/>
    <w:rsid w:val="00E43791"/>
    <w:rsid w:val="00E4398C"/>
    <w:rsid w:val="00E4456C"/>
    <w:rsid w:val="00E44C6E"/>
    <w:rsid w:val="00E4547A"/>
    <w:rsid w:val="00E46186"/>
    <w:rsid w:val="00E46247"/>
    <w:rsid w:val="00E47D6D"/>
    <w:rsid w:val="00E50317"/>
    <w:rsid w:val="00E5054E"/>
    <w:rsid w:val="00E50846"/>
    <w:rsid w:val="00E50FCB"/>
    <w:rsid w:val="00E51131"/>
    <w:rsid w:val="00E51CCA"/>
    <w:rsid w:val="00E52C77"/>
    <w:rsid w:val="00E53336"/>
    <w:rsid w:val="00E533D4"/>
    <w:rsid w:val="00E5375B"/>
    <w:rsid w:val="00E5388C"/>
    <w:rsid w:val="00E540AE"/>
    <w:rsid w:val="00E54C4B"/>
    <w:rsid w:val="00E562CA"/>
    <w:rsid w:val="00E56A88"/>
    <w:rsid w:val="00E56D7A"/>
    <w:rsid w:val="00E57A63"/>
    <w:rsid w:val="00E57D39"/>
    <w:rsid w:val="00E57D6F"/>
    <w:rsid w:val="00E57E05"/>
    <w:rsid w:val="00E60000"/>
    <w:rsid w:val="00E60449"/>
    <w:rsid w:val="00E60CA4"/>
    <w:rsid w:val="00E616C0"/>
    <w:rsid w:val="00E62750"/>
    <w:rsid w:val="00E62850"/>
    <w:rsid w:val="00E635B3"/>
    <w:rsid w:val="00E63A7D"/>
    <w:rsid w:val="00E64368"/>
    <w:rsid w:val="00E65AC5"/>
    <w:rsid w:val="00E667D3"/>
    <w:rsid w:val="00E668EE"/>
    <w:rsid w:val="00E674E2"/>
    <w:rsid w:val="00E67BAA"/>
    <w:rsid w:val="00E67E12"/>
    <w:rsid w:val="00E70AC8"/>
    <w:rsid w:val="00E70BC9"/>
    <w:rsid w:val="00E718B7"/>
    <w:rsid w:val="00E72825"/>
    <w:rsid w:val="00E73678"/>
    <w:rsid w:val="00E73C8A"/>
    <w:rsid w:val="00E74AF2"/>
    <w:rsid w:val="00E74C09"/>
    <w:rsid w:val="00E75F5B"/>
    <w:rsid w:val="00E7643C"/>
    <w:rsid w:val="00E76AED"/>
    <w:rsid w:val="00E770AC"/>
    <w:rsid w:val="00E800B4"/>
    <w:rsid w:val="00E810DB"/>
    <w:rsid w:val="00E81990"/>
    <w:rsid w:val="00E81E2D"/>
    <w:rsid w:val="00E822A9"/>
    <w:rsid w:val="00E825BA"/>
    <w:rsid w:val="00E83D6A"/>
    <w:rsid w:val="00E83E24"/>
    <w:rsid w:val="00E85F12"/>
    <w:rsid w:val="00E86303"/>
    <w:rsid w:val="00E86755"/>
    <w:rsid w:val="00E876D2"/>
    <w:rsid w:val="00E878DE"/>
    <w:rsid w:val="00E87C11"/>
    <w:rsid w:val="00E9027D"/>
    <w:rsid w:val="00E90ACD"/>
    <w:rsid w:val="00E916D5"/>
    <w:rsid w:val="00E92C2B"/>
    <w:rsid w:val="00E93E03"/>
    <w:rsid w:val="00E941DD"/>
    <w:rsid w:val="00E94295"/>
    <w:rsid w:val="00E94E2C"/>
    <w:rsid w:val="00E94EAB"/>
    <w:rsid w:val="00E950BF"/>
    <w:rsid w:val="00E9649C"/>
    <w:rsid w:val="00E969BC"/>
    <w:rsid w:val="00E96B37"/>
    <w:rsid w:val="00E9795A"/>
    <w:rsid w:val="00EA0121"/>
    <w:rsid w:val="00EA0240"/>
    <w:rsid w:val="00EA10E5"/>
    <w:rsid w:val="00EA14FF"/>
    <w:rsid w:val="00EA1899"/>
    <w:rsid w:val="00EA19B9"/>
    <w:rsid w:val="00EA2418"/>
    <w:rsid w:val="00EA2F39"/>
    <w:rsid w:val="00EA3CC4"/>
    <w:rsid w:val="00EA40AF"/>
    <w:rsid w:val="00EA4468"/>
    <w:rsid w:val="00EA4574"/>
    <w:rsid w:val="00EA595A"/>
    <w:rsid w:val="00EB0919"/>
    <w:rsid w:val="00EB0E8B"/>
    <w:rsid w:val="00EB1432"/>
    <w:rsid w:val="00EB14C6"/>
    <w:rsid w:val="00EB1FB6"/>
    <w:rsid w:val="00EB24CD"/>
    <w:rsid w:val="00EB388A"/>
    <w:rsid w:val="00EB41E1"/>
    <w:rsid w:val="00EB42E9"/>
    <w:rsid w:val="00EB5230"/>
    <w:rsid w:val="00EB52ED"/>
    <w:rsid w:val="00EB7A59"/>
    <w:rsid w:val="00EC0DBD"/>
    <w:rsid w:val="00EC242E"/>
    <w:rsid w:val="00EC2CAC"/>
    <w:rsid w:val="00EC310B"/>
    <w:rsid w:val="00EC3509"/>
    <w:rsid w:val="00EC38BE"/>
    <w:rsid w:val="00EC588C"/>
    <w:rsid w:val="00EC67EF"/>
    <w:rsid w:val="00EC76EE"/>
    <w:rsid w:val="00EC7CF6"/>
    <w:rsid w:val="00ED0611"/>
    <w:rsid w:val="00ED160D"/>
    <w:rsid w:val="00ED1E15"/>
    <w:rsid w:val="00ED2749"/>
    <w:rsid w:val="00ED2C72"/>
    <w:rsid w:val="00ED4020"/>
    <w:rsid w:val="00ED4112"/>
    <w:rsid w:val="00ED4354"/>
    <w:rsid w:val="00ED483B"/>
    <w:rsid w:val="00ED5029"/>
    <w:rsid w:val="00ED52C2"/>
    <w:rsid w:val="00ED536B"/>
    <w:rsid w:val="00ED59AB"/>
    <w:rsid w:val="00ED5CF1"/>
    <w:rsid w:val="00ED6C22"/>
    <w:rsid w:val="00ED736A"/>
    <w:rsid w:val="00ED7A4D"/>
    <w:rsid w:val="00ED7D07"/>
    <w:rsid w:val="00ED7F18"/>
    <w:rsid w:val="00ED7FAB"/>
    <w:rsid w:val="00EE0F35"/>
    <w:rsid w:val="00EE177A"/>
    <w:rsid w:val="00EE18B5"/>
    <w:rsid w:val="00EE1EC8"/>
    <w:rsid w:val="00EE2778"/>
    <w:rsid w:val="00EE27E2"/>
    <w:rsid w:val="00EE326E"/>
    <w:rsid w:val="00EE3496"/>
    <w:rsid w:val="00EE3EB2"/>
    <w:rsid w:val="00EE4638"/>
    <w:rsid w:val="00EE4717"/>
    <w:rsid w:val="00EE4C6B"/>
    <w:rsid w:val="00EE4E5C"/>
    <w:rsid w:val="00EE4F4B"/>
    <w:rsid w:val="00EE4F4F"/>
    <w:rsid w:val="00EE53CE"/>
    <w:rsid w:val="00EE5E94"/>
    <w:rsid w:val="00EE67C4"/>
    <w:rsid w:val="00EE6A2A"/>
    <w:rsid w:val="00EF11FB"/>
    <w:rsid w:val="00EF139E"/>
    <w:rsid w:val="00EF2EE8"/>
    <w:rsid w:val="00EF4E95"/>
    <w:rsid w:val="00EF5145"/>
    <w:rsid w:val="00EF5AC7"/>
    <w:rsid w:val="00EF5C7D"/>
    <w:rsid w:val="00EF66C9"/>
    <w:rsid w:val="00EF7638"/>
    <w:rsid w:val="00F01061"/>
    <w:rsid w:val="00F01368"/>
    <w:rsid w:val="00F022A8"/>
    <w:rsid w:val="00F02CC6"/>
    <w:rsid w:val="00F02EE6"/>
    <w:rsid w:val="00F02EF2"/>
    <w:rsid w:val="00F02F10"/>
    <w:rsid w:val="00F03121"/>
    <w:rsid w:val="00F03F49"/>
    <w:rsid w:val="00F03F81"/>
    <w:rsid w:val="00F044B3"/>
    <w:rsid w:val="00F04594"/>
    <w:rsid w:val="00F04BCA"/>
    <w:rsid w:val="00F04FC1"/>
    <w:rsid w:val="00F05F80"/>
    <w:rsid w:val="00F0695C"/>
    <w:rsid w:val="00F07502"/>
    <w:rsid w:val="00F0781E"/>
    <w:rsid w:val="00F07849"/>
    <w:rsid w:val="00F10B9A"/>
    <w:rsid w:val="00F10ECB"/>
    <w:rsid w:val="00F1136E"/>
    <w:rsid w:val="00F1161C"/>
    <w:rsid w:val="00F11C4C"/>
    <w:rsid w:val="00F127C0"/>
    <w:rsid w:val="00F128E7"/>
    <w:rsid w:val="00F153DD"/>
    <w:rsid w:val="00F15563"/>
    <w:rsid w:val="00F15BC8"/>
    <w:rsid w:val="00F1641C"/>
    <w:rsid w:val="00F16A39"/>
    <w:rsid w:val="00F16E15"/>
    <w:rsid w:val="00F1782C"/>
    <w:rsid w:val="00F17A31"/>
    <w:rsid w:val="00F202C5"/>
    <w:rsid w:val="00F20776"/>
    <w:rsid w:val="00F21600"/>
    <w:rsid w:val="00F21729"/>
    <w:rsid w:val="00F21A91"/>
    <w:rsid w:val="00F21EE1"/>
    <w:rsid w:val="00F2220F"/>
    <w:rsid w:val="00F226F8"/>
    <w:rsid w:val="00F2426A"/>
    <w:rsid w:val="00F246D5"/>
    <w:rsid w:val="00F24A6B"/>
    <w:rsid w:val="00F2512E"/>
    <w:rsid w:val="00F255E1"/>
    <w:rsid w:val="00F25E0F"/>
    <w:rsid w:val="00F262B5"/>
    <w:rsid w:val="00F264B5"/>
    <w:rsid w:val="00F2699A"/>
    <w:rsid w:val="00F26E60"/>
    <w:rsid w:val="00F27432"/>
    <w:rsid w:val="00F27678"/>
    <w:rsid w:val="00F276A1"/>
    <w:rsid w:val="00F30939"/>
    <w:rsid w:val="00F3109F"/>
    <w:rsid w:val="00F3253C"/>
    <w:rsid w:val="00F33EF3"/>
    <w:rsid w:val="00F348AC"/>
    <w:rsid w:val="00F34E9D"/>
    <w:rsid w:val="00F35EE4"/>
    <w:rsid w:val="00F360D4"/>
    <w:rsid w:val="00F3622C"/>
    <w:rsid w:val="00F363CB"/>
    <w:rsid w:val="00F365A3"/>
    <w:rsid w:val="00F36C95"/>
    <w:rsid w:val="00F37E6C"/>
    <w:rsid w:val="00F40413"/>
    <w:rsid w:val="00F4180C"/>
    <w:rsid w:val="00F41F1D"/>
    <w:rsid w:val="00F41FE0"/>
    <w:rsid w:val="00F4237B"/>
    <w:rsid w:val="00F42951"/>
    <w:rsid w:val="00F43830"/>
    <w:rsid w:val="00F43E8E"/>
    <w:rsid w:val="00F44075"/>
    <w:rsid w:val="00F447D2"/>
    <w:rsid w:val="00F45532"/>
    <w:rsid w:val="00F45896"/>
    <w:rsid w:val="00F46477"/>
    <w:rsid w:val="00F467B6"/>
    <w:rsid w:val="00F47045"/>
    <w:rsid w:val="00F50CD7"/>
    <w:rsid w:val="00F515A4"/>
    <w:rsid w:val="00F51616"/>
    <w:rsid w:val="00F519C3"/>
    <w:rsid w:val="00F51C5C"/>
    <w:rsid w:val="00F52441"/>
    <w:rsid w:val="00F52C32"/>
    <w:rsid w:val="00F52F83"/>
    <w:rsid w:val="00F534B9"/>
    <w:rsid w:val="00F53DBF"/>
    <w:rsid w:val="00F549E5"/>
    <w:rsid w:val="00F54E94"/>
    <w:rsid w:val="00F56C26"/>
    <w:rsid w:val="00F57184"/>
    <w:rsid w:val="00F572F3"/>
    <w:rsid w:val="00F5738D"/>
    <w:rsid w:val="00F577DB"/>
    <w:rsid w:val="00F578C0"/>
    <w:rsid w:val="00F600FC"/>
    <w:rsid w:val="00F6088C"/>
    <w:rsid w:val="00F60D7E"/>
    <w:rsid w:val="00F60F9F"/>
    <w:rsid w:val="00F6176D"/>
    <w:rsid w:val="00F61B32"/>
    <w:rsid w:val="00F62182"/>
    <w:rsid w:val="00F62258"/>
    <w:rsid w:val="00F622C0"/>
    <w:rsid w:val="00F62E0C"/>
    <w:rsid w:val="00F633D5"/>
    <w:rsid w:val="00F63783"/>
    <w:rsid w:val="00F64095"/>
    <w:rsid w:val="00F645CC"/>
    <w:rsid w:val="00F64A0E"/>
    <w:rsid w:val="00F65D6E"/>
    <w:rsid w:val="00F664D4"/>
    <w:rsid w:val="00F666C0"/>
    <w:rsid w:val="00F66918"/>
    <w:rsid w:val="00F66E18"/>
    <w:rsid w:val="00F67872"/>
    <w:rsid w:val="00F702CA"/>
    <w:rsid w:val="00F70B8C"/>
    <w:rsid w:val="00F72223"/>
    <w:rsid w:val="00F72678"/>
    <w:rsid w:val="00F7288E"/>
    <w:rsid w:val="00F72B64"/>
    <w:rsid w:val="00F72FF7"/>
    <w:rsid w:val="00F732D0"/>
    <w:rsid w:val="00F73875"/>
    <w:rsid w:val="00F74493"/>
    <w:rsid w:val="00F74B04"/>
    <w:rsid w:val="00F74D34"/>
    <w:rsid w:val="00F75000"/>
    <w:rsid w:val="00F75168"/>
    <w:rsid w:val="00F751D7"/>
    <w:rsid w:val="00F75229"/>
    <w:rsid w:val="00F75676"/>
    <w:rsid w:val="00F75C14"/>
    <w:rsid w:val="00F7615A"/>
    <w:rsid w:val="00F76881"/>
    <w:rsid w:val="00F76EAC"/>
    <w:rsid w:val="00F773E7"/>
    <w:rsid w:val="00F77AF5"/>
    <w:rsid w:val="00F800FF"/>
    <w:rsid w:val="00F81045"/>
    <w:rsid w:val="00F817F5"/>
    <w:rsid w:val="00F823F8"/>
    <w:rsid w:val="00F825B2"/>
    <w:rsid w:val="00F82AED"/>
    <w:rsid w:val="00F83FC4"/>
    <w:rsid w:val="00F84CE5"/>
    <w:rsid w:val="00F8516E"/>
    <w:rsid w:val="00F851CC"/>
    <w:rsid w:val="00F866D5"/>
    <w:rsid w:val="00F86B09"/>
    <w:rsid w:val="00F8709D"/>
    <w:rsid w:val="00F87121"/>
    <w:rsid w:val="00F87134"/>
    <w:rsid w:val="00F87C72"/>
    <w:rsid w:val="00F87D24"/>
    <w:rsid w:val="00F90EE1"/>
    <w:rsid w:val="00F918DA"/>
    <w:rsid w:val="00F9195B"/>
    <w:rsid w:val="00F9250E"/>
    <w:rsid w:val="00F925DD"/>
    <w:rsid w:val="00F92C54"/>
    <w:rsid w:val="00F93833"/>
    <w:rsid w:val="00F941CC"/>
    <w:rsid w:val="00F96423"/>
    <w:rsid w:val="00F965D1"/>
    <w:rsid w:val="00F96701"/>
    <w:rsid w:val="00F96823"/>
    <w:rsid w:val="00F96EA0"/>
    <w:rsid w:val="00F97301"/>
    <w:rsid w:val="00F97855"/>
    <w:rsid w:val="00F97899"/>
    <w:rsid w:val="00F97973"/>
    <w:rsid w:val="00F97C3B"/>
    <w:rsid w:val="00F97DF3"/>
    <w:rsid w:val="00F97EBE"/>
    <w:rsid w:val="00FA0472"/>
    <w:rsid w:val="00FA05B8"/>
    <w:rsid w:val="00FA09F5"/>
    <w:rsid w:val="00FA1077"/>
    <w:rsid w:val="00FA111C"/>
    <w:rsid w:val="00FA15A2"/>
    <w:rsid w:val="00FA1ECC"/>
    <w:rsid w:val="00FA26A2"/>
    <w:rsid w:val="00FA2A96"/>
    <w:rsid w:val="00FA2E47"/>
    <w:rsid w:val="00FA320B"/>
    <w:rsid w:val="00FA3A98"/>
    <w:rsid w:val="00FA4285"/>
    <w:rsid w:val="00FA49D7"/>
    <w:rsid w:val="00FA5F9B"/>
    <w:rsid w:val="00FA6B90"/>
    <w:rsid w:val="00FA7052"/>
    <w:rsid w:val="00FB0786"/>
    <w:rsid w:val="00FB14F1"/>
    <w:rsid w:val="00FB1BBF"/>
    <w:rsid w:val="00FB2301"/>
    <w:rsid w:val="00FB2922"/>
    <w:rsid w:val="00FB37E6"/>
    <w:rsid w:val="00FB4AE1"/>
    <w:rsid w:val="00FB4DDE"/>
    <w:rsid w:val="00FB578C"/>
    <w:rsid w:val="00FB5E02"/>
    <w:rsid w:val="00FB6132"/>
    <w:rsid w:val="00FC0709"/>
    <w:rsid w:val="00FC09AB"/>
    <w:rsid w:val="00FC0E60"/>
    <w:rsid w:val="00FC18B5"/>
    <w:rsid w:val="00FC1959"/>
    <w:rsid w:val="00FC1B80"/>
    <w:rsid w:val="00FC1F3A"/>
    <w:rsid w:val="00FC3467"/>
    <w:rsid w:val="00FC3B3E"/>
    <w:rsid w:val="00FC68C2"/>
    <w:rsid w:val="00FC7D94"/>
    <w:rsid w:val="00FD00AB"/>
    <w:rsid w:val="00FD0294"/>
    <w:rsid w:val="00FD187D"/>
    <w:rsid w:val="00FD18C4"/>
    <w:rsid w:val="00FD1B85"/>
    <w:rsid w:val="00FD231B"/>
    <w:rsid w:val="00FD2672"/>
    <w:rsid w:val="00FD4115"/>
    <w:rsid w:val="00FD4835"/>
    <w:rsid w:val="00FD49DF"/>
    <w:rsid w:val="00FD4EEA"/>
    <w:rsid w:val="00FD508E"/>
    <w:rsid w:val="00FD627B"/>
    <w:rsid w:val="00FD6684"/>
    <w:rsid w:val="00FD769E"/>
    <w:rsid w:val="00FD7F73"/>
    <w:rsid w:val="00FE1619"/>
    <w:rsid w:val="00FE2189"/>
    <w:rsid w:val="00FE3061"/>
    <w:rsid w:val="00FE31D0"/>
    <w:rsid w:val="00FE4ADA"/>
    <w:rsid w:val="00FE4DC9"/>
    <w:rsid w:val="00FE5055"/>
    <w:rsid w:val="00FE5DDE"/>
    <w:rsid w:val="00FE6669"/>
    <w:rsid w:val="00FE7491"/>
    <w:rsid w:val="00FE774C"/>
    <w:rsid w:val="00FE7C20"/>
    <w:rsid w:val="00FE7F29"/>
    <w:rsid w:val="00FF1250"/>
    <w:rsid w:val="00FF1625"/>
    <w:rsid w:val="00FF1AA5"/>
    <w:rsid w:val="00FF1EC1"/>
    <w:rsid w:val="00FF2223"/>
    <w:rsid w:val="00FF232C"/>
    <w:rsid w:val="00FF25BE"/>
    <w:rsid w:val="00FF2F72"/>
    <w:rsid w:val="00FF458B"/>
    <w:rsid w:val="00FF52EB"/>
    <w:rsid w:val="00FF544B"/>
    <w:rsid w:val="00FF62C7"/>
    <w:rsid w:val="00FF6A5D"/>
    <w:rsid w:val="00FF6C00"/>
    <w:rsid w:val="00FF7223"/>
    <w:rsid w:val="00FF7FA4"/>
    <w:rsid w:val="012244D6"/>
    <w:rsid w:val="0151BB21"/>
    <w:rsid w:val="015901DE"/>
    <w:rsid w:val="015BE446"/>
    <w:rsid w:val="016D2B6F"/>
    <w:rsid w:val="018204BA"/>
    <w:rsid w:val="01840D71"/>
    <w:rsid w:val="019043BD"/>
    <w:rsid w:val="01961651"/>
    <w:rsid w:val="01AE7ABA"/>
    <w:rsid w:val="01C2456A"/>
    <w:rsid w:val="01C51637"/>
    <w:rsid w:val="01C9F773"/>
    <w:rsid w:val="01E75770"/>
    <w:rsid w:val="01EA8DAF"/>
    <w:rsid w:val="020A71AF"/>
    <w:rsid w:val="021BBE86"/>
    <w:rsid w:val="021F45E6"/>
    <w:rsid w:val="0221907A"/>
    <w:rsid w:val="025DECAD"/>
    <w:rsid w:val="027C3E4E"/>
    <w:rsid w:val="027C699D"/>
    <w:rsid w:val="02BA5E68"/>
    <w:rsid w:val="02D257D5"/>
    <w:rsid w:val="02D5C4AE"/>
    <w:rsid w:val="02F610A5"/>
    <w:rsid w:val="02F83F79"/>
    <w:rsid w:val="033EC253"/>
    <w:rsid w:val="0351CF76"/>
    <w:rsid w:val="03A573AD"/>
    <w:rsid w:val="03C27CD6"/>
    <w:rsid w:val="03C6959C"/>
    <w:rsid w:val="0405D1FF"/>
    <w:rsid w:val="0436C4FD"/>
    <w:rsid w:val="044F46E8"/>
    <w:rsid w:val="044FBFC8"/>
    <w:rsid w:val="045F9C27"/>
    <w:rsid w:val="04631CC0"/>
    <w:rsid w:val="0469BAF8"/>
    <w:rsid w:val="04857021"/>
    <w:rsid w:val="048E083B"/>
    <w:rsid w:val="049F0EFB"/>
    <w:rsid w:val="04B54986"/>
    <w:rsid w:val="04D859A1"/>
    <w:rsid w:val="04D8E203"/>
    <w:rsid w:val="04E2A543"/>
    <w:rsid w:val="04E47686"/>
    <w:rsid w:val="04F1B2B6"/>
    <w:rsid w:val="04F49D7C"/>
    <w:rsid w:val="051F49C1"/>
    <w:rsid w:val="052C4448"/>
    <w:rsid w:val="0536E8F0"/>
    <w:rsid w:val="0540F44D"/>
    <w:rsid w:val="054F59D7"/>
    <w:rsid w:val="056DC62B"/>
    <w:rsid w:val="056E8C8E"/>
    <w:rsid w:val="0575BFA8"/>
    <w:rsid w:val="0581BA1A"/>
    <w:rsid w:val="0582E183"/>
    <w:rsid w:val="058775AC"/>
    <w:rsid w:val="05C8CF25"/>
    <w:rsid w:val="05CCF8DE"/>
    <w:rsid w:val="05DE6B7A"/>
    <w:rsid w:val="05E8502C"/>
    <w:rsid w:val="05FAA44C"/>
    <w:rsid w:val="0601455F"/>
    <w:rsid w:val="060418B8"/>
    <w:rsid w:val="0619DE4C"/>
    <w:rsid w:val="0621B635"/>
    <w:rsid w:val="0623741E"/>
    <w:rsid w:val="063276F8"/>
    <w:rsid w:val="063BFF4B"/>
    <w:rsid w:val="0655646F"/>
    <w:rsid w:val="069E2B80"/>
    <w:rsid w:val="06B3CE41"/>
    <w:rsid w:val="06BE881B"/>
    <w:rsid w:val="06CC698C"/>
    <w:rsid w:val="06FFAC0B"/>
    <w:rsid w:val="07264218"/>
    <w:rsid w:val="07367CA9"/>
    <w:rsid w:val="0739B663"/>
    <w:rsid w:val="0768F06D"/>
    <w:rsid w:val="0796C6B6"/>
    <w:rsid w:val="079E1466"/>
    <w:rsid w:val="07ABA38A"/>
    <w:rsid w:val="07BA6D06"/>
    <w:rsid w:val="07C2198C"/>
    <w:rsid w:val="07DC853C"/>
    <w:rsid w:val="07E679FC"/>
    <w:rsid w:val="0848CC5D"/>
    <w:rsid w:val="0853238A"/>
    <w:rsid w:val="0858BA34"/>
    <w:rsid w:val="08A1D5A8"/>
    <w:rsid w:val="08B92645"/>
    <w:rsid w:val="08B9270C"/>
    <w:rsid w:val="08C1149F"/>
    <w:rsid w:val="08E043C0"/>
    <w:rsid w:val="08E360E7"/>
    <w:rsid w:val="08F39B98"/>
    <w:rsid w:val="0913F8DF"/>
    <w:rsid w:val="0940E647"/>
    <w:rsid w:val="09518AEE"/>
    <w:rsid w:val="09535835"/>
    <w:rsid w:val="09598851"/>
    <w:rsid w:val="09721821"/>
    <w:rsid w:val="0989F65B"/>
    <w:rsid w:val="0995B7D5"/>
    <w:rsid w:val="09C0813C"/>
    <w:rsid w:val="09E4855E"/>
    <w:rsid w:val="0A0166A2"/>
    <w:rsid w:val="0A2F2041"/>
    <w:rsid w:val="0A3621F4"/>
    <w:rsid w:val="0A371B93"/>
    <w:rsid w:val="0A3B10E6"/>
    <w:rsid w:val="0A419375"/>
    <w:rsid w:val="0A4724A5"/>
    <w:rsid w:val="0A7824F3"/>
    <w:rsid w:val="0A96073A"/>
    <w:rsid w:val="0AC609C4"/>
    <w:rsid w:val="0ADCF9AB"/>
    <w:rsid w:val="0AE62CA2"/>
    <w:rsid w:val="0B02A107"/>
    <w:rsid w:val="0B0E35B3"/>
    <w:rsid w:val="0B25E66F"/>
    <w:rsid w:val="0B5D74F6"/>
    <w:rsid w:val="0B6915EB"/>
    <w:rsid w:val="0B804703"/>
    <w:rsid w:val="0B9D3703"/>
    <w:rsid w:val="0BC0209D"/>
    <w:rsid w:val="0BD5971D"/>
    <w:rsid w:val="0BEE2D80"/>
    <w:rsid w:val="0C0D2BD9"/>
    <w:rsid w:val="0C1460CC"/>
    <w:rsid w:val="0C1ACB8A"/>
    <w:rsid w:val="0C298268"/>
    <w:rsid w:val="0C558B13"/>
    <w:rsid w:val="0C57E7DD"/>
    <w:rsid w:val="0C65C1D3"/>
    <w:rsid w:val="0C7A6035"/>
    <w:rsid w:val="0C7C5E49"/>
    <w:rsid w:val="0C83E18E"/>
    <w:rsid w:val="0C9989A5"/>
    <w:rsid w:val="0CAA3BA1"/>
    <w:rsid w:val="0CAF21EA"/>
    <w:rsid w:val="0CB7A640"/>
    <w:rsid w:val="0CD40DE7"/>
    <w:rsid w:val="0CF68C81"/>
    <w:rsid w:val="0CF775F1"/>
    <w:rsid w:val="0CF78960"/>
    <w:rsid w:val="0CFAD4BB"/>
    <w:rsid w:val="0CFDFECC"/>
    <w:rsid w:val="0D0E1898"/>
    <w:rsid w:val="0D411B91"/>
    <w:rsid w:val="0D4E3F87"/>
    <w:rsid w:val="0D506DFC"/>
    <w:rsid w:val="0D71B6D8"/>
    <w:rsid w:val="0D7B4AC6"/>
    <w:rsid w:val="0D999A47"/>
    <w:rsid w:val="0DBAE8A7"/>
    <w:rsid w:val="0DCA2301"/>
    <w:rsid w:val="0DCFEB67"/>
    <w:rsid w:val="0DD5C5D7"/>
    <w:rsid w:val="0DF07C63"/>
    <w:rsid w:val="0E2F5A31"/>
    <w:rsid w:val="0E3312A5"/>
    <w:rsid w:val="0E38336B"/>
    <w:rsid w:val="0E457C6C"/>
    <w:rsid w:val="0E4A9C34"/>
    <w:rsid w:val="0E4B3EE3"/>
    <w:rsid w:val="0E4F2870"/>
    <w:rsid w:val="0E5D0BEB"/>
    <w:rsid w:val="0E610A47"/>
    <w:rsid w:val="0E61A430"/>
    <w:rsid w:val="0E6C5197"/>
    <w:rsid w:val="0E7222CA"/>
    <w:rsid w:val="0E934652"/>
    <w:rsid w:val="0EA1C48D"/>
    <w:rsid w:val="0EAC383F"/>
    <w:rsid w:val="0EC8F7BE"/>
    <w:rsid w:val="0EE1891F"/>
    <w:rsid w:val="0EEC3E5D"/>
    <w:rsid w:val="0F11282B"/>
    <w:rsid w:val="0F14DAF2"/>
    <w:rsid w:val="0F156DBF"/>
    <w:rsid w:val="0F47A503"/>
    <w:rsid w:val="0F486F2E"/>
    <w:rsid w:val="0F6498A3"/>
    <w:rsid w:val="0F6FD5A8"/>
    <w:rsid w:val="0F8DDD8E"/>
    <w:rsid w:val="0FB792FC"/>
    <w:rsid w:val="0FB845E5"/>
    <w:rsid w:val="0FC6F9C7"/>
    <w:rsid w:val="0FD53823"/>
    <w:rsid w:val="0FD538C7"/>
    <w:rsid w:val="0FF4F01C"/>
    <w:rsid w:val="0FF71F10"/>
    <w:rsid w:val="0FF815D9"/>
    <w:rsid w:val="10187791"/>
    <w:rsid w:val="101C7B98"/>
    <w:rsid w:val="1021AD0E"/>
    <w:rsid w:val="10282FEA"/>
    <w:rsid w:val="10424985"/>
    <w:rsid w:val="104FE8A3"/>
    <w:rsid w:val="10539D8B"/>
    <w:rsid w:val="105670BF"/>
    <w:rsid w:val="108A7D27"/>
    <w:rsid w:val="108D7F0F"/>
    <w:rsid w:val="1097CE76"/>
    <w:rsid w:val="10AA54B4"/>
    <w:rsid w:val="10C19EA3"/>
    <w:rsid w:val="10CDBCC4"/>
    <w:rsid w:val="1138C690"/>
    <w:rsid w:val="114AE291"/>
    <w:rsid w:val="114EF8D6"/>
    <w:rsid w:val="11712A6A"/>
    <w:rsid w:val="11772FFB"/>
    <w:rsid w:val="11AF1FC7"/>
    <w:rsid w:val="11D62F6A"/>
    <w:rsid w:val="11F9F037"/>
    <w:rsid w:val="11FF402E"/>
    <w:rsid w:val="1202BA28"/>
    <w:rsid w:val="1245B4F3"/>
    <w:rsid w:val="124B8E6B"/>
    <w:rsid w:val="12D89A7D"/>
    <w:rsid w:val="12FC9175"/>
    <w:rsid w:val="13397597"/>
    <w:rsid w:val="134C0913"/>
    <w:rsid w:val="135A47EA"/>
    <w:rsid w:val="136222FA"/>
    <w:rsid w:val="137E0EF2"/>
    <w:rsid w:val="13922386"/>
    <w:rsid w:val="1392882D"/>
    <w:rsid w:val="139CAFFE"/>
    <w:rsid w:val="13A5E112"/>
    <w:rsid w:val="13CB7B45"/>
    <w:rsid w:val="13D89687"/>
    <w:rsid w:val="13DE22D3"/>
    <w:rsid w:val="13E4C077"/>
    <w:rsid w:val="14102C80"/>
    <w:rsid w:val="1439C41D"/>
    <w:rsid w:val="144C3586"/>
    <w:rsid w:val="145BCF58"/>
    <w:rsid w:val="146135E5"/>
    <w:rsid w:val="146D6C39"/>
    <w:rsid w:val="1477B487"/>
    <w:rsid w:val="147B70A6"/>
    <w:rsid w:val="1496DBD0"/>
    <w:rsid w:val="14A54A4B"/>
    <w:rsid w:val="14AD90FC"/>
    <w:rsid w:val="14B6B4F0"/>
    <w:rsid w:val="14D6E8AC"/>
    <w:rsid w:val="14EB7370"/>
    <w:rsid w:val="15041EBA"/>
    <w:rsid w:val="150FE681"/>
    <w:rsid w:val="15745968"/>
    <w:rsid w:val="15BC77DD"/>
    <w:rsid w:val="15E369EE"/>
    <w:rsid w:val="15E6B2B0"/>
    <w:rsid w:val="15E85678"/>
    <w:rsid w:val="15F79FB9"/>
    <w:rsid w:val="16047344"/>
    <w:rsid w:val="162740CE"/>
    <w:rsid w:val="16605783"/>
    <w:rsid w:val="1669D298"/>
    <w:rsid w:val="166D95DD"/>
    <w:rsid w:val="16A5156F"/>
    <w:rsid w:val="16A66AD4"/>
    <w:rsid w:val="16AE11E8"/>
    <w:rsid w:val="16B296AD"/>
    <w:rsid w:val="16BF5B57"/>
    <w:rsid w:val="16DAAE6F"/>
    <w:rsid w:val="17098957"/>
    <w:rsid w:val="17127D82"/>
    <w:rsid w:val="1712B7FA"/>
    <w:rsid w:val="1747B90B"/>
    <w:rsid w:val="1750070D"/>
    <w:rsid w:val="176C4B61"/>
    <w:rsid w:val="1788D531"/>
    <w:rsid w:val="178C2719"/>
    <w:rsid w:val="178E524C"/>
    <w:rsid w:val="17A5D5D4"/>
    <w:rsid w:val="17D47227"/>
    <w:rsid w:val="180CF389"/>
    <w:rsid w:val="1817F252"/>
    <w:rsid w:val="181FF514"/>
    <w:rsid w:val="183A2898"/>
    <w:rsid w:val="1850F70F"/>
    <w:rsid w:val="1861CD46"/>
    <w:rsid w:val="186A10FA"/>
    <w:rsid w:val="186B2818"/>
    <w:rsid w:val="187A4F95"/>
    <w:rsid w:val="187DF097"/>
    <w:rsid w:val="18B93C81"/>
    <w:rsid w:val="18CDA20F"/>
    <w:rsid w:val="18E1A8AD"/>
    <w:rsid w:val="18EE5F03"/>
    <w:rsid w:val="18FBB51F"/>
    <w:rsid w:val="190CD5A8"/>
    <w:rsid w:val="1920C276"/>
    <w:rsid w:val="19260C41"/>
    <w:rsid w:val="1939AE15"/>
    <w:rsid w:val="194A8D93"/>
    <w:rsid w:val="195337F6"/>
    <w:rsid w:val="19535514"/>
    <w:rsid w:val="19774629"/>
    <w:rsid w:val="197780B3"/>
    <w:rsid w:val="1986ED3B"/>
    <w:rsid w:val="199A4865"/>
    <w:rsid w:val="19A8492B"/>
    <w:rsid w:val="19C1A38B"/>
    <w:rsid w:val="1A000430"/>
    <w:rsid w:val="1A0111C0"/>
    <w:rsid w:val="1A09C2D5"/>
    <w:rsid w:val="1A1AD5A4"/>
    <w:rsid w:val="1A1D1749"/>
    <w:rsid w:val="1A338B02"/>
    <w:rsid w:val="1A5886D8"/>
    <w:rsid w:val="1A637324"/>
    <w:rsid w:val="1A84191C"/>
    <w:rsid w:val="1A8D2B65"/>
    <w:rsid w:val="1A908C4C"/>
    <w:rsid w:val="1AABC676"/>
    <w:rsid w:val="1AAFCD1A"/>
    <w:rsid w:val="1AC68482"/>
    <w:rsid w:val="1AEA8127"/>
    <w:rsid w:val="1B0072C8"/>
    <w:rsid w:val="1B6DCCB3"/>
    <w:rsid w:val="1B82BB51"/>
    <w:rsid w:val="1B89312B"/>
    <w:rsid w:val="1B99BCB9"/>
    <w:rsid w:val="1BA49D74"/>
    <w:rsid w:val="1BB34AED"/>
    <w:rsid w:val="1BE01921"/>
    <w:rsid w:val="1BE25FD5"/>
    <w:rsid w:val="1BFA4198"/>
    <w:rsid w:val="1C0542D1"/>
    <w:rsid w:val="1C2B6E54"/>
    <w:rsid w:val="1C72E819"/>
    <w:rsid w:val="1CB7069B"/>
    <w:rsid w:val="1CC01C0F"/>
    <w:rsid w:val="1CD89EC9"/>
    <w:rsid w:val="1CF6BAB8"/>
    <w:rsid w:val="1CF83272"/>
    <w:rsid w:val="1D0D99BB"/>
    <w:rsid w:val="1D0F8C69"/>
    <w:rsid w:val="1D27FF71"/>
    <w:rsid w:val="1D3E8310"/>
    <w:rsid w:val="1D5ECEAA"/>
    <w:rsid w:val="1D6D9275"/>
    <w:rsid w:val="1D71CED2"/>
    <w:rsid w:val="1D7890EA"/>
    <w:rsid w:val="1DA45821"/>
    <w:rsid w:val="1E07E9D7"/>
    <w:rsid w:val="1E2A4C96"/>
    <w:rsid w:val="1E3EA201"/>
    <w:rsid w:val="1E424F84"/>
    <w:rsid w:val="1E4AB0EA"/>
    <w:rsid w:val="1E89CB7B"/>
    <w:rsid w:val="1EA31EB3"/>
    <w:rsid w:val="1EA6DEAB"/>
    <w:rsid w:val="1EA96A1C"/>
    <w:rsid w:val="1EAB6069"/>
    <w:rsid w:val="1EDBD64F"/>
    <w:rsid w:val="1F0A5E13"/>
    <w:rsid w:val="1F13AB7C"/>
    <w:rsid w:val="1F3E47C5"/>
    <w:rsid w:val="1F922F09"/>
    <w:rsid w:val="1F937E89"/>
    <w:rsid w:val="1F9683E5"/>
    <w:rsid w:val="1FA70148"/>
    <w:rsid w:val="1FC63C91"/>
    <w:rsid w:val="1FC7BFD2"/>
    <w:rsid w:val="1FD0C455"/>
    <w:rsid w:val="1FD8A8BD"/>
    <w:rsid w:val="1FFF7F66"/>
    <w:rsid w:val="202286CB"/>
    <w:rsid w:val="203B7664"/>
    <w:rsid w:val="20453A7D"/>
    <w:rsid w:val="204BB1D6"/>
    <w:rsid w:val="2082D896"/>
    <w:rsid w:val="20979554"/>
    <w:rsid w:val="20A2292B"/>
    <w:rsid w:val="20A60B19"/>
    <w:rsid w:val="20B88D20"/>
    <w:rsid w:val="20C04F4C"/>
    <w:rsid w:val="20D72AF5"/>
    <w:rsid w:val="20F8D970"/>
    <w:rsid w:val="211644E5"/>
    <w:rsid w:val="216DF2F4"/>
    <w:rsid w:val="21938D32"/>
    <w:rsid w:val="21A903E0"/>
    <w:rsid w:val="21CC0A2F"/>
    <w:rsid w:val="21E8A57E"/>
    <w:rsid w:val="21ECC94C"/>
    <w:rsid w:val="21FC6628"/>
    <w:rsid w:val="220F8C48"/>
    <w:rsid w:val="223D3320"/>
    <w:rsid w:val="22497976"/>
    <w:rsid w:val="22511EFA"/>
    <w:rsid w:val="225301A3"/>
    <w:rsid w:val="22598F0C"/>
    <w:rsid w:val="2259F46B"/>
    <w:rsid w:val="225CAF89"/>
    <w:rsid w:val="226BC4D4"/>
    <w:rsid w:val="227E1AA2"/>
    <w:rsid w:val="228653D5"/>
    <w:rsid w:val="228E2FD0"/>
    <w:rsid w:val="22999CC0"/>
    <w:rsid w:val="2299FA4D"/>
    <w:rsid w:val="22B0FC51"/>
    <w:rsid w:val="22BC6429"/>
    <w:rsid w:val="22BF046A"/>
    <w:rsid w:val="22E0C13D"/>
    <w:rsid w:val="22F04714"/>
    <w:rsid w:val="22F86312"/>
    <w:rsid w:val="22FBD4E8"/>
    <w:rsid w:val="22FF51A2"/>
    <w:rsid w:val="230D847D"/>
    <w:rsid w:val="231455F1"/>
    <w:rsid w:val="2329E4B6"/>
    <w:rsid w:val="23321149"/>
    <w:rsid w:val="234089B8"/>
    <w:rsid w:val="23617693"/>
    <w:rsid w:val="23712176"/>
    <w:rsid w:val="23836587"/>
    <w:rsid w:val="2386738B"/>
    <w:rsid w:val="2388F588"/>
    <w:rsid w:val="23B15014"/>
    <w:rsid w:val="23CD05E7"/>
    <w:rsid w:val="23F4E595"/>
    <w:rsid w:val="23FA166F"/>
    <w:rsid w:val="24134B84"/>
    <w:rsid w:val="241C5782"/>
    <w:rsid w:val="242E6E27"/>
    <w:rsid w:val="242FE4F6"/>
    <w:rsid w:val="245302A2"/>
    <w:rsid w:val="247C0602"/>
    <w:rsid w:val="248914E4"/>
    <w:rsid w:val="24B09AEC"/>
    <w:rsid w:val="24C7460E"/>
    <w:rsid w:val="24D305A1"/>
    <w:rsid w:val="2511E84E"/>
    <w:rsid w:val="251218F7"/>
    <w:rsid w:val="25610A48"/>
    <w:rsid w:val="25926E34"/>
    <w:rsid w:val="25B509E7"/>
    <w:rsid w:val="25D36641"/>
    <w:rsid w:val="25E8488C"/>
    <w:rsid w:val="25F2747A"/>
    <w:rsid w:val="262092BF"/>
    <w:rsid w:val="26293979"/>
    <w:rsid w:val="262B32E1"/>
    <w:rsid w:val="262EB33B"/>
    <w:rsid w:val="2634D7A9"/>
    <w:rsid w:val="263505BB"/>
    <w:rsid w:val="265F8404"/>
    <w:rsid w:val="266313D0"/>
    <w:rsid w:val="267E0E91"/>
    <w:rsid w:val="268A7795"/>
    <w:rsid w:val="2699958F"/>
    <w:rsid w:val="26A32654"/>
    <w:rsid w:val="26D529B2"/>
    <w:rsid w:val="270DEAA4"/>
    <w:rsid w:val="27197B70"/>
    <w:rsid w:val="27278DD7"/>
    <w:rsid w:val="27303D43"/>
    <w:rsid w:val="2742741D"/>
    <w:rsid w:val="277BF019"/>
    <w:rsid w:val="278F74DB"/>
    <w:rsid w:val="2790A1CE"/>
    <w:rsid w:val="27B1816A"/>
    <w:rsid w:val="27ED63E8"/>
    <w:rsid w:val="27F01C95"/>
    <w:rsid w:val="28147009"/>
    <w:rsid w:val="281F69DC"/>
    <w:rsid w:val="28219E87"/>
    <w:rsid w:val="282F0669"/>
    <w:rsid w:val="2835E3CB"/>
    <w:rsid w:val="283C0CF2"/>
    <w:rsid w:val="2844F475"/>
    <w:rsid w:val="28666962"/>
    <w:rsid w:val="288F4DC6"/>
    <w:rsid w:val="288F704A"/>
    <w:rsid w:val="28938DCF"/>
    <w:rsid w:val="28A59290"/>
    <w:rsid w:val="28C5671C"/>
    <w:rsid w:val="28D1AB6D"/>
    <w:rsid w:val="28E7EC32"/>
    <w:rsid w:val="28F26E00"/>
    <w:rsid w:val="28FE331A"/>
    <w:rsid w:val="29119D35"/>
    <w:rsid w:val="29463F21"/>
    <w:rsid w:val="2955C6FD"/>
    <w:rsid w:val="295FBB9F"/>
    <w:rsid w:val="296527FB"/>
    <w:rsid w:val="2966D11D"/>
    <w:rsid w:val="2986A7F5"/>
    <w:rsid w:val="29913656"/>
    <w:rsid w:val="299237CE"/>
    <w:rsid w:val="29A3F7CC"/>
    <w:rsid w:val="29CAD096"/>
    <w:rsid w:val="29CB9C96"/>
    <w:rsid w:val="29E5E72C"/>
    <w:rsid w:val="2A2A676E"/>
    <w:rsid w:val="2A920B2B"/>
    <w:rsid w:val="2A988846"/>
    <w:rsid w:val="2AA0C858"/>
    <w:rsid w:val="2AA3CA00"/>
    <w:rsid w:val="2AD4BAE2"/>
    <w:rsid w:val="2AF2AD8E"/>
    <w:rsid w:val="2B046F44"/>
    <w:rsid w:val="2B0C82C8"/>
    <w:rsid w:val="2B268D49"/>
    <w:rsid w:val="2B66EEEA"/>
    <w:rsid w:val="2B8D50F7"/>
    <w:rsid w:val="2BCFDC47"/>
    <w:rsid w:val="2BD7642B"/>
    <w:rsid w:val="2BF147D9"/>
    <w:rsid w:val="2BFE559C"/>
    <w:rsid w:val="2C028499"/>
    <w:rsid w:val="2C085053"/>
    <w:rsid w:val="2C16E982"/>
    <w:rsid w:val="2C29FAEB"/>
    <w:rsid w:val="2C2CAA8A"/>
    <w:rsid w:val="2C32859F"/>
    <w:rsid w:val="2C87DB38"/>
    <w:rsid w:val="2C95D31C"/>
    <w:rsid w:val="2CA03FA5"/>
    <w:rsid w:val="2CAB712F"/>
    <w:rsid w:val="2CB8FB86"/>
    <w:rsid w:val="2CE1BAE7"/>
    <w:rsid w:val="2D1908BF"/>
    <w:rsid w:val="2D1C049A"/>
    <w:rsid w:val="2D33DA45"/>
    <w:rsid w:val="2D3476DC"/>
    <w:rsid w:val="2D49555A"/>
    <w:rsid w:val="2D65E8F5"/>
    <w:rsid w:val="2D6B7330"/>
    <w:rsid w:val="2DB5A418"/>
    <w:rsid w:val="2DBCE08D"/>
    <w:rsid w:val="2DDF1FAA"/>
    <w:rsid w:val="2DE020BB"/>
    <w:rsid w:val="2DE1328C"/>
    <w:rsid w:val="2E06B995"/>
    <w:rsid w:val="2E18F0E7"/>
    <w:rsid w:val="2E3B0327"/>
    <w:rsid w:val="2E4A13C9"/>
    <w:rsid w:val="2E54B70E"/>
    <w:rsid w:val="2E66F06C"/>
    <w:rsid w:val="2E6B8B30"/>
    <w:rsid w:val="2E74E602"/>
    <w:rsid w:val="2E958DE6"/>
    <w:rsid w:val="2EAB9085"/>
    <w:rsid w:val="2EC6A0B4"/>
    <w:rsid w:val="2EF15B1E"/>
    <w:rsid w:val="2EF4295B"/>
    <w:rsid w:val="2EF598C2"/>
    <w:rsid w:val="2F1C8A09"/>
    <w:rsid w:val="2F3F9144"/>
    <w:rsid w:val="2F43754D"/>
    <w:rsid w:val="2F528860"/>
    <w:rsid w:val="2F5F0381"/>
    <w:rsid w:val="2F668B65"/>
    <w:rsid w:val="2F7E1C51"/>
    <w:rsid w:val="2F7EDB59"/>
    <w:rsid w:val="2F9A287C"/>
    <w:rsid w:val="2FA11D6F"/>
    <w:rsid w:val="2FD71C11"/>
    <w:rsid w:val="2FDD7B98"/>
    <w:rsid w:val="2FFD19BF"/>
    <w:rsid w:val="30193A9D"/>
    <w:rsid w:val="30390B2E"/>
    <w:rsid w:val="303B50F5"/>
    <w:rsid w:val="30458A87"/>
    <w:rsid w:val="305A1319"/>
    <w:rsid w:val="305D9AED"/>
    <w:rsid w:val="3091AB94"/>
    <w:rsid w:val="30A0A6DD"/>
    <w:rsid w:val="30B08109"/>
    <w:rsid w:val="310ABBBD"/>
    <w:rsid w:val="31197F31"/>
    <w:rsid w:val="3192EF15"/>
    <w:rsid w:val="31A9A68E"/>
    <w:rsid w:val="31BFEC97"/>
    <w:rsid w:val="31DF6A6C"/>
    <w:rsid w:val="322CE231"/>
    <w:rsid w:val="32428F29"/>
    <w:rsid w:val="32664A7C"/>
    <w:rsid w:val="326E473E"/>
    <w:rsid w:val="327F322B"/>
    <w:rsid w:val="3350B1E8"/>
    <w:rsid w:val="33511B9B"/>
    <w:rsid w:val="337D5DD8"/>
    <w:rsid w:val="33AA8E2B"/>
    <w:rsid w:val="33AFE4CE"/>
    <w:rsid w:val="33C1DC23"/>
    <w:rsid w:val="33C4821C"/>
    <w:rsid w:val="33CC50B6"/>
    <w:rsid w:val="33F1C589"/>
    <w:rsid w:val="3413AA12"/>
    <w:rsid w:val="342D9ACC"/>
    <w:rsid w:val="34368A72"/>
    <w:rsid w:val="343C8B99"/>
    <w:rsid w:val="344580B0"/>
    <w:rsid w:val="345B50BD"/>
    <w:rsid w:val="347546D5"/>
    <w:rsid w:val="347DAF48"/>
    <w:rsid w:val="349F7AE3"/>
    <w:rsid w:val="34D718BC"/>
    <w:rsid w:val="34E65722"/>
    <w:rsid w:val="34FF0840"/>
    <w:rsid w:val="3510784D"/>
    <w:rsid w:val="35128BF0"/>
    <w:rsid w:val="35186B81"/>
    <w:rsid w:val="3563A075"/>
    <w:rsid w:val="35B7EFB2"/>
    <w:rsid w:val="35DB9754"/>
    <w:rsid w:val="35DFF561"/>
    <w:rsid w:val="35E135AE"/>
    <w:rsid w:val="3602FEA2"/>
    <w:rsid w:val="360F28D9"/>
    <w:rsid w:val="3621BDD7"/>
    <w:rsid w:val="362252CB"/>
    <w:rsid w:val="363409A2"/>
    <w:rsid w:val="364FBCF9"/>
    <w:rsid w:val="3673CA7C"/>
    <w:rsid w:val="36774222"/>
    <w:rsid w:val="367F2E86"/>
    <w:rsid w:val="368E0A00"/>
    <w:rsid w:val="369B7486"/>
    <w:rsid w:val="36E6DDC9"/>
    <w:rsid w:val="36E8CBFE"/>
    <w:rsid w:val="36FD8CDE"/>
    <w:rsid w:val="3702F94E"/>
    <w:rsid w:val="370C490A"/>
    <w:rsid w:val="37335DED"/>
    <w:rsid w:val="3742A810"/>
    <w:rsid w:val="3757BCB5"/>
    <w:rsid w:val="3776B3E2"/>
    <w:rsid w:val="378EBE49"/>
    <w:rsid w:val="379BA699"/>
    <w:rsid w:val="37A22854"/>
    <w:rsid w:val="37C0004D"/>
    <w:rsid w:val="37CDF873"/>
    <w:rsid w:val="3814F61E"/>
    <w:rsid w:val="381AAB3A"/>
    <w:rsid w:val="3827A64A"/>
    <w:rsid w:val="383FAFD7"/>
    <w:rsid w:val="386C7FC2"/>
    <w:rsid w:val="3871C4F7"/>
    <w:rsid w:val="3874479A"/>
    <w:rsid w:val="38820A73"/>
    <w:rsid w:val="38A01F94"/>
    <w:rsid w:val="38CB2BC4"/>
    <w:rsid w:val="38E39CFB"/>
    <w:rsid w:val="38ED7535"/>
    <w:rsid w:val="391CE905"/>
    <w:rsid w:val="3978C798"/>
    <w:rsid w:val="39867C76"/>
    <w:rsid w:val="3987A6DE"/>
    <w:rsid w:val="398B7E17"/>
    <w:rsid w:val="3992B8C4"/>
    <w:rsid w:val="39942B69"/>
    <w:rsid w:val="39BC7853"/>
    <w:rsid w:val="39D9078D"/>
    <w:rsid w:val="39E8B47E"/>
    <w:rsid w:val="3A037AA7"/>
    <w:rsid w:val="3A052F1C"/>
    <w:rsid w:val="3A3C5B75"/>
    <w:rsid w:val="3A714C29"/>
    <w:rsid w:val="3A8E705D"/>
    <w:rsid w:val="3AC6C4B8"/>
    <w:rsid w:val="3B099836"/>
    <w:rsid w:val="3B2A4BAA"/>
    <w:rsid w:val="3B2ABDF9"/>
    <w:rsid w:val="3B2F234F"/>
    <w:rsid w:val="3B58A475"/>
    <w:rsid w:val="3B743E0C"/>
    <w:rsid w:val="3B94D9A5"/>
    <w:rsid w:val="3BA3C91C"/>
    <w:rsid w:val="3BD5633B"/>
    <w:rsid w:val="3BD87827"/>
    <w:rsid w:val="3BE60E16"/>
    <w:rsid w:val="3BF2C358"/>
    <w:rsid w:val="3C141376"/>
    <w:rsid w:val="3C163259"/>
    <w:rsid w:val="3C29E5DB"/>
    <w:rsid w:val="3C3529C4"/>
    <w:rsid w:val="3C3EBF23"/>
    <w:rsid w:val="3C431187"/>
    <w:rsid w:val="3C5AA0CC"/>
    <w:rsid w:val="3C74AB25"/>
    <w:rsid w:val="3C7AE86F"/>
    <w:rsid w:val="3C9C301A"/>
    <w:rsid w:val="3C9DC07C"/>
    <w:rsid w:val="3CC22A7D"/>
    <w:rsid w:val="3CCBCC2B"/>
    <w:rsid w:val="3CD90342"/>
    <w:rsid w:val="3CE0D38A"/>
    <w:rsid w:val="3D0A9BFC"/>
    <w:rsid w:val="3D0B1F50"/>
    <w:rsid w:val="3D110D79"/>
    <w:rsid w:val="3D1DC618"/>
    <w:rsid w:val="3D1DFA31"/>
    <w:rsid w:val="3D38322B"/>
    <w:rsid w:val="3D7ED5F1"/>
    <w:rsid w:val="3DB80307"/>
    <w:rsid w:val="3DCBAF19"/>
    <w:rsid w:val="3DE1D522"/>
    <w:rsid w:val="3DE78D6B"/>
    <w:rsid w:val="3E14D3CB"/>
    <w:rsid w:val="3E16B8D0"/>
    <w:rsid w:val="3E3C4AA7"/>
    <w:rsid w:val="3E47A1B7"/>
    <w:rsid w:val="3E98E1F0"/>
    <w:rsid w:val="3EA269FA"/>
    <w:rsid w:val="3EA6D668"/>
    <w:rsid w:val="3EDB4732"/>
    <w:rsid w:val="3F100B69"/>
    <w:rsid w:val="3F1A8DF8"/>
    <w:rsid w:val="3F476347"/>
    <w:rsid w:val="3F5C1248"/>
    <w:rsid w:val="3F61A325"/>
    <w:rsid w:val="3F779221"/>
    <w:rsid w:val="3F7A1DC0"/>
    <w:rsid w:val="3FA094DF"/>
    <w:rsid w:val="3FBDC1C8"/>
    <w:rsid w:val="3FEFC300"/>
    <w:rsid w:val="40036CED"/>
    <w:rsid w:val="4005C48D"/>
    <w:rsid w:val="400867AC"/>
    <w:rsid w:val="403FA8D5"/>
    <w:rsid w:val="40633933"/>
    <w:rsid w:val="40638302"/>
    <w:rsid w:val="4075F194"/>
    <w:rsid w:val="407D7694"/>
    <w:rsid w:val="4086C290"/>
    <w:rsid w:val="409A70F0"/>
    <w:rsid w:val="409CD82C"/>
    <w:rsid w:val="40A24D8B"/>
    <w:rsid w:val="40B0E4B1"/>
    <w:rsid w:val="410E8590"/>
    <w:rsid w:val="4117DC28"/>
    <w:rsid w:val="412F2603"/>
    <w:rsid w:val="41676041"/>
    <w:rsid w:val="41782FFB"/>
    <w:rsid w:val="4180205B"/>
    <w:rsid w:val="41941639"/>
    <w:rsid w:val="41CA997D"/>
    <w:rsid w:val="41D11319"/>
    <w:rsid w:val="41F03232"/>
    <w:rsid w:val="41F2F35A"/>
    <w:rsid w:val="420827E7"/>
    <w:rsid w:val="421D42AE"/>
    <w:rsid w:val="423FDF9A"/>
    <w:rsid w:val="424C84A5"/>
    <w:rsid w:val="426D7408"/>
    <w:rsid w:val="428969BE"/>
    <w:rsid w:val="4292B77B"/>
    <w:rsid w:val="42B1F74D"/>
    <w:rsid w:val="42B46EF2"/>
    <w:rsid w:val="42D8A183"/>
    <w:rsid w:val="42E0F4B3"/>
    <w:rsid w:val="43280C70"/>
    <w:rsid w:val="432F911C"/>
    <w:rsid w:val="435FA9A7"/>
    <w:rsid w:val="4361EF4A"/>
    <w:rsid w:val="4384FCCC"/>
    <w:rsid w:val="43C31656"/>
    <w:rsid w:val="43CA5F9E"/>
    <w:rsid w:val="4403E38D"/>
    <w:rsid w:val="44071DC5"/>
    <w:rsid w:val="44367504"/>
    <w:rsid w:val="4436CC38"/>
    <w:rsid w:val="448043B2"/>
    <w:rsid w:val="44836290"/>
    <w:rsid w:val="448722B8"/>
    <w:rsid w:val="44C7F737"/>
    <w:rsid w:val="44C96F61"/>
    <w:rsid w:val="44D79826"/>
    <w:rsid w:val="45413270"/>
    <w:rsid w:val="455C6FDE"/>
    <w:rsid w:val="455E57FF"/>
    <w:rsid w:val="45C2913B"/>
    <w:rsid w:val="45E413BF"/>
    <w:rsid w:val="463CA4E5"/>
    <w:rsid w:val="464980EB"/>
    <w:rsid w:val="4655E229"/>
    <w:rsid w:val="4663D85E"/>
    <w:rsid w:val="466768D8"/>
    <w:rsid w:val="467408DC"/>
    <w:rsid w:val="46801CE6"/>
    <w:rsid w:val="469E84FC"/>
    <w:rsid w:val="46A038D3"/>
    <w:rsid w:val="46A8993C"/>
    <w:rsid w:val="46DC672A"/>
    <w:rsid w:val="4707DE0C"/>
    <w:rsid w:val="471C9333"/>
    <w:rsid w:val="4744A378"/>
    <w:rsid w:val="4762C109"/>
    <w:rsid w:val="476C9882"/>
    <w:rsid w:val="479C91A7"/>
    <w:rsid w:val="47B91BEE"/>
    <w:rsid w:val="47C38DED"/>
    <w:rsid w:val="47C9B9BD"/>
    <w:rsid w:val="47E95A48"/>
    <w:rsid w:val="47ECBA9A"/>
    <w:rsid w:val="4838F030"/>
    <w:rsid w:val="4873AE10"/>
    <w:rsid w:val="48B4002E"/>
    <w:rsid w:val="48C8558C"/>
    <w:rsid w:val="490EAD8B"/>
    <w:rsid w:val="4925A5D3"/>
    <w:rsid w:val="494224D3"/>
    <w:rsid w:val="49532AC6"/>
    <w:rsid w:val="4956A17A"/>
    <w:rsid w:val="496F5526"/>
    <w:rsid w:val="497D189E"/>
    <w:rsid w:val="49871BC2"/>
    <w:rsid w:val="49B367E6"/>
    <w:rsid w:val="49CAB158"/>
    <w:rsid w:val="49CDEBDD"/>
    <w:rsid w:val="49DBB717"/>
    <w:rsid w:val="4A02753C"/>
    <w:rsid w:val="4A0768F8"/>
    <w:rsid w:val="4A1958E1"/>
    <w:rsid w:val="4A1B1AF0"/>
    <w:rsid w:val="4A2D0881"/>
    <w:rsid w:val="4A341B8B"/>
    <w:rsid w:val="4A567569"/>
    <w:rsid w:val="4A641F85"/>
    <w:rsid w:val="4A9C932A"/>
    <w:rsid w:val="4AA6AE2F"/>
    <w:rsid w:val="4AA7C974"/>
    <w:rsid w:val="4AC6E2E3"/>
    <w:rsid w:val="4AD6D9B4"/>
    <w:rsid w:val="4B0029E5"/>
    <w:rsid w:val="4B2B55E4"/>
    <w:rsid w:val="4B65D5D1"/>
    <w:rsid w:val="4B7A58A0"/>
    <w:rsid w:val="4BACA409"/>
    <w:rsid w:val="4BB073F4"/>
    <w:rsid w:val="4BB67DA6"/>
    <w:rsid w:val="4BC420A5"/>
    <w:rsid w:val="4BEDA43A"/>
    <w:rsid w:val="4BF22911"/>
    <w:rsid w:val="4BFF6AC0"/>
    <w:rsid w:val="4C46635C"/>
    <w:rsid w:val="4C66EABA"/>
    <w:rsid w:val="4C847DDE"/>
    <w:rsid w:val="4C8D0727"/>
    <w:rsid w:val="4C9C7BC2"/>
    <w:rsid w:val="4C9DEDE1"/>
    <w:rsid w:val="4CAE0196"/>
    <w:rsid w:val="4CC67023"/>
    <w:rsid w:val="4CC69113"/>
    <w:rsid w:val="4CCDEA44"/>
    <w:rsid w:val="4D6AFE9A"/>
    <w:rsid w:val="4D6BA40F"/>
    <w:rsid w:val="4D6C0B1C"/>
    <w:rsid w:val="4DA63F2F"/>
    <w:rsid w:val="4DA8F868"/>
    <w:rsid w:val="4DD00013"/>
    <w:rsid w:val="4DEABC68"/>
    <w:rsid w:val="4DEB8EB9"/>
    <w:rsid w:val="4DEC922B"/>
    <w:rsid w:val="4DF2B70D"/>
    <w:rsid w:val="4E09BBAB"/>
    <w:rsid w:val="4E0DDB64"/>
    <w:rsid w:val="4E1B605B"/>
    <w:rsid w:val="4E37B91E"/>
    <w:rsid w:val="4E6DCBA4"/>
    <w:rsid w:val="4E893FDB"/>
    <w:rsid w:val="4E9DE742"/>
    <w:rsid w:val="4EAB4AB8"/>
    <w:rsid w:val="4EC1C7C7"/>
    <w:rsid w:val="4ED96E16"/>
    <w:rsid w:val="4F2E7611"/>
    <w:rsid w:val="4F2EEBF0"/>
    <w:rsid w:val="4F634E42"/>
    <w:rsid w:val="4FA30135"/>
    <w:rsid w:val="4FB1A862"/>
    <w:rsid w:val="4FB970B0"/>
    <w:rsid w:val="4FCBE14E"/>
    <w:rsid w:val="4FEC5BEC"/>
    <w:rsid w:val="50100A67"/>
    <w:rsid w:val="50217E3D"/>
    <w:rsid w:val="50460039"/>
    <w:rsid w:val="5046195F"/>
    <w:rsid w:val="50500AEB"/>
    <w:rsid w:val="506B2668"/>
    <w:rsid w:val="506BB9F5"/>
    <w:rsid w:val="5071EA68"/>
    <w:rsid w:val="509D3A8E"/>
    <w:rsid w:val="509D95E1"/>
    <w:rsid w:val="509E5692"/>
    <w:rsid w:val="50A073A7"/>
    <w:rsid w:val="50A291F0"/>
    <w:rsid w:val="50CE48D2"/>
    <w:rsid w:val="50E834FB"/>
    <w:rsid w:val="50E9FD20"/>
    <w:rsid w:val="50FEF0DF"/>
    <w:rsid w:val="51365910"/>
    <w:rsid w:val="514F3457"/>
    <w:rsid w:val="515BA626"/>
    <w:rsid w:val="51725D15"/>
    <w:rsid w:val="5178D7C9"/>
    <w:rsid w:val="518D7022"/>
    <w:rsid w:val="51A8006B"/>
    <w:rsid w:val="51BF9B1A"/>
    <w:rsid w:val="51BFDDF6"/>
    <w:rsid w:val="51E6CACA"/>
    <w:rsid w:val="521E9390"/>
    <w:rsid w:val="521FF043"/>
    <w:rsid w:val="52390AEF"/>
    <w:rsid w:val="52481FB3"/>
    <w:rsid w:val="524CD6AE"/>
    <w:rsid w:val="525676D6"/>
    <w:rsid w:val="529DB0BF"/>
    <w:rsid w:val="52A3363E"/>
    <w:rsid w:val="52BF39E8"/>
    <w:rsid w:val="52DF0293"/>
    <w:rsid w:val="52E8252A"/>
    <w:rsid w:val="52E8CE9D"/>
    <w:rsid w:val="52ED0FE7"/>
    <w:rsid w:val="5300B144"/>
    <w:rsid w:val="531EEE40"/>
    <w:rsid w:val="532B8DFF"/>
    <w:rsid w:val="533AC9FD"/>
    <w:rsid w:val="539797CF"/>
    <w:rsid w:val="539D972D"/>
    <w:rsid w:val="53AEB33B"/>
    <w:rsid w:val="53EE0949"/>
    <w:rsid w:val="53F764FB"/>
    <w:rsid w:val="53FB2FF3"/>
    <w:rsid w:val="5403D214"/>
    <w:rsid w:val="54069DBE"/>
    <w:rsid w:val="541D3852"/>
    <w:rsid w:val="542185AD"/>
    <w:rsid w:val="545FF475"/>
    <w:rsid w:val="54BB6920"/>
    <w:rsid w:val="54C0D8DD"/>
    <w:rsid w:val="54E6B571"/>
    <w:rsid w:val="5506C1AF"/>
    <w:rsid w:val="554B3B2B"/>
    <w:rsid w:val="555544AE"/>
    <w:rsid w:val="555FEA32"/>
    <w:rsid w:val="558D633F"/>
    <w:rsid w:val="55980D38"/>
    <w:rsid w:val="55BAC8DB"/>
    <w:rsid w:val="55BAD04B"/>
    <w:rsid w:val="55C3ED2D"/>
    <w:rsid w:val="55E4D7E7"/>
    <w:rsid w:val="55F5D283"/>
    <w:rsid w:val="565703A9"/>
    <w:rsid w:val="5680B861"/>
    <w:rsid w:val="56A7A561"/>
    <w:rsid w:val="56A7E352"/>
    <w:rsid w:val="56C3A37E"/>
    <w:rsid w:val="56FCA432"/>
    <w:rsid w:val="571515A2"/>
    <w:rsid w:val="574852CA"/>
    <w:rsid w:val="579EA850"/>
    <w:rsid w:val="57CF42B4"/>
    <w:rsid w:val="57FB2533"/>
    <w:rsid w:val="58025C08"/>
    <w:rsid w:val="58213872"/>
    <w:rsid w:val="58357D3A"/>
    <w:rsid w:val="585D56E2"/>
    <w:rsid w:val="5873207D"/>
    <w:rsid w:val="587AA965"/>
    <w:rsid w:val="58807C0E"/>
    <w:rsid w:val="58958ABB"/>
    <w:rsid w:val="58A18427"/>
    <w:rsid w:val="59347CAE"/>
    <w:rsid w:val="59469201"/>
    <w:rsid w:val="5951E28F"/>
    <w:rsid w:val="597700F5"/>
    <w:rsid w:val="599EEE68"/>
    <w:rsid w:val="59C0CA09"/>
    <w:rsid w:val="59EE7C37"/>
    <w:rsid w:val="5A14BBFA"/>
    <w:rsid w:val="5A16972F"/>
    <w:rsid w:val="5A31C6AB"/>
    <w:rsid w:val="5A6936B8"/>
    <w:rsid w:val="5A8756B2"/>
    <w:rsid w:val="5A87A6EB"/>
    <w:rsid w:val="5A8CE9E7"/>
    <w:rsid w:val="5A957518"/>
    <w:rsid w:val="5AB8DC64"/>
    <w:rsid w:val="5ADCB9AF"/>
    <w:rsid w:val="5AE13CEA"/>
    <w:rsid w:val="5AE44FC7"/>
    <w:rsid w:val="5AF15FD4"/>
    <w:rsid w:val="5AFD18A3"/>
    <w:rsid w:val="5B228782"/>
    <w:rsid w:val="5B22F061"/>
    <w:rsid w:val="5B236879"/>
    <w:rsid w:val="5B284C97"/>
    <w:rsid w:val="5B28B48F"/>
    <w:rsid w:val="5B3A7ECF"/>
    <w:rsid w:val="5B3BD84B"/>
    <w:rsid w:val="5B45446A"/>
    <w:rsid w:val="5B7631E5"/>
    <w:rsid w:val="5BA3A570"/>
    <w:rsid w:val="5BB6DC78"/>
    <w:rsid w:val="5BC64A40"/>
    <w:rsid w:val="5BE07D4E"/>
    <w:rsid w:val="5BF1E323"/>
    <w:rsid w:val="5BF75C06"/>
    <w:rsid w:val="5C126DC7"/>
    <w:rsid w:val="5C1CEA26"/>
    <w:rsid w:val="5C24A555"/>
    <w:rsid w:val="5CB1A9FA"/>
    <w:rsid w:val="5CB847CF"/>
    <w:rsid w:val="5CDE5480"/>
    <w:rsid w:val="5CE0A83F"/>
    <w:rsid w:val="5CED2005"/>
    <w:rsid w:val="5D03329C"/>
    <w:rsid w:val="5D0F1DBD"/>
    <w:rsid w:val="5D12AF5E"/>
    <w:rsid w:val="5D357D42"/>
    <w:rsid w:val="5D48FB4D"/>
    <w:rsid w:val="5D542BD8"/>
    <w:rsid w:val="5D5533A8"/>
    <w:rsid w:val="5D9320F3"/>
    <w:rsid w:val="5D95AA63"/>
    <w:rsid w:val="5D9D88D1"/>
    <w:rsid w:val="5DC8D793"/>
    <w:rsid w:val="5DCC4995"/>
    <w:rsid w:val="5DCC831E"/>
    <w:rsid w:val="5DD79DFC"/>
    <w:rsid w:val="5DDC4E6E"/>
    <w:rsid w:val="5DE5F62F"/>
    <w:rsid w:val="5E2DA070"/>
    <w:rsid w:val="5E44494B"/>
    <w:rsid w:val="5E63CB91"/>
    <w:rsid w:val="5E6F1D18"/>
    <w:rsid w:val="5E84E95E"/>
    <w:rsid w:val="5EAFCC8C"/>
    <w:rsid w:val="5EB08208"/>
    <w:rsid w:val="5EC1791A"/>
    <w:rsid w:val="5EC48187"/>
    <w:rsid w:val="5EE040BB"/>
    <w:rsid w:val="5EEDBEE5"/>
    <w:rsid w:val="5F3A0D4A"/>
    <w:rsid w:val="5F3ACCE1"/>
    <w:rsid w:val="5F56A76C"/>
    <w:rsid w:val="5F5938B3"/>
    <w:rsid w:val="5F813BC1"/>
    <w:rsid w:val="5FB657C3"/>
    <w:rsid w:val="5FB9BAC6"/>
    <w:rsid w:val="5FBF8893"/>
    <w:rsid w:val="5FC6DD47"/>
    <w:rsid w:val="5FD459D7"/>
    <w:rsid w:val="5FE87007"/>
    <w:rsid w:val="602CD669"/>
    <w:rsid w:val="602D622D"/>
    <w:rsid w:val="60557F92"/>
    <w:rsid w:val="60748B8C"/>
    <w:rsid w:val="6085A5B7"/>
    <w:rsid w:val="60A5819B"/>
    <w:rsid w:val="60D616A1"/>
    <w:rsid w:val="60DDC319"/>
    <w:rsid w:val="60F65E8C"/>
    <w:rsid w:val="61086F2E"/>
    <w:rsid w:val="612BEDE5"/>
    <w:rsid w:val="6139769C"/>
    <w:rsid w:val="613D24F8"/>
    <w:rsid w:val="61A2B0F6"/>
    <w:rsid w:val="61B433D9"/>
    <w:rsid w:val="61CE4A9D"/>
    <w:rsid w:val="61E17A7E"/>
    <w:rsid w:val="61EA2EE6"/>
    <w:rsid w:val="6238B2B0"/>
    <w:rsid w:val="625EF392"/>
    <w:rsid w:val="6279A2AA"/>
    <w:rsid w:val="62897332"/>
    <w:rsid w:val="628CD3AF"/>
    <w:rsid w:val="62B19AEE"/>
    <w:rsid w:val="62BE29D1"/>
    <w:rsid w:val="62C95F9D"/>
    <w:rsid w:val="62CAD432"/>
    <w:rsid w:val="6302732D"/>
    <w:rsid w:val="6321007C"/>
    <w:rsid w:val="63247DEC"/>
    <w:rsid w:val="6341FB29"/>
    <w:rsid w:val="634FF495"/>
    <w:rsid w:val="63749ED4"/>
    <w:rsid w:val="637D4ADF"/>
    <w:rsid w:val="638081A7"/>
    <w:rsid w:val="6381769B"/>
    <w:rsid w:val="6381C620"/>
    <w:rsid w:val="638CB894"/>
    <w:rsid w:val="63A31D96"/>
    <w:rsid w:val="63C32134"/>
    <w:rsid w:val="63C54B17"/>
    <w:rsid w:val="63CB2FB3"/>
    <w:rsid w:val="63E20ADF"/>
    <w:rsid w:val="642209FA"/>
    <w:rsid w:val="642BBB42"/>
    <w:rsid w:val="647280FE"/>
    <w:rsid w:val="64958583"/>
    <w:rsid w:val="64CE74CD"/>
    <w:rsid w:val="64DDD863"/>
    <w:rsid w:val="64E401B6"/>
    <w:rsid w:val="650FF714"/>
    <w:rsid w:val="651B362F"/>
    <w:rsid w:val="652DDEA2"/>
    <w:rsid w:val="65341179"/>
    <w:rsid w:val="65714747"/>
    <w:rsid w:val="658CB96C"/>
    <w:rsid w:val="659A35FF"/>
    <w:rsid w:val="65CB3038"/>
    <w:rsid w:val="65ECAFEC"/>
    <w:rsid w:val="65FEBB76"/>
    <w:rsid w:val="66038FE7"/>
    <w:rsid w:val="662BD4F1"/>
    <w:rsid w:val="664BBB83"/>
    <w:rsid w:val="666A1863"/>
    <w:rsid w:val="669EA60E"/>
    <w:rsid w:val="66AB2ED5"/>
    <w:rsid w:val="671E71DE"/>
    <w:rsid w:val="672920F0"/>
    <w:rsid w:val="672AECAC"/>
    <w:rsid w:val="67474932"/>
    <w:rsid w:val="67782AF2"/>
    <w:rsid w:val="67C1D6F1"/>
    <w:rsid w:val="67C462BF"/>
    <w:rsid w:val="67D78E53"/>
    <w:rsid w:val="680CC8D0"/>
    <w:rsid w:val="6810A2C7"/>
    <w:rsid w:val="6827AA5C"/>
    <w:rsid w:val="68704913"/>
    <w:rsid w:val="68C37DF1"/>
    <w:rsid w:val="68C4E0C7"/>
    <w:rsid w:val="6935A19E"/>
    <w:rsid w:val="694E1300"/>
    <w:rsid w:val="69655A61"/>
    <w:rsid w:val="6986C76D"/>
    <w:rsid w:val="69CD01B1"/>
    <w:rsid w:val="69CE5643"/>
    <w:rsid w:val="69D5458B"/>
    <w:rsid w:val="69DAFDBD"/>
    <w:rsid w:val="69E02F02"/>
    <w:rsid w:val="6A0A2A1A"/>
    <w:rsid w:val="6A4BE39C"/>
    <w:rsid w:val="6A62BAD6"/>
    <w:rsid w:val="6A736D3D"/>
    <w:rsid w:val="6A843D53"/>
    <w:rsid w:val="6A90C84D"/>
    <w:rsid w:val="6AC159C3"/>
    <w:rsid w:val="6AD8098E"/>
    <w:rsid w:val="6ADAD14D"/>
    <w:rsid w:val="6AE66775"/>
    <w:rsid w:val="6AEDE1DA"/>
    <w:rsid w:val="6AF7CA65"/>
    <w:rsid w:val="6AF7D205"/>
    <w:rsid w:val="6B10FC82"/>
    <w:rsid w:val="6B2077AA"/>
    <w:rsid w:val="6B510F22"/>
    <w:rsid w:val="6B5B4824"/>
    <w:rsid w:val="6B9CCC69"/>
    <w:rsid w:val="6BAB9F3F"/>
    <w:rsid w:val="6BABAFE7"/>
    <w:rsid w:val="6BB6735E"/>
    <w:rsid w:val="6BBFC130"/>
    <w:rsid w:val="6C03AA01"/>
    <w:rsid w:val="6C2D7B35"/>
    <w:rsid w:val="6C2F43B3"/>
    <w:rsid w:val="6C3DDBA2"/>
    <w:rsid w:val="6C54EF44"/>
    <w:rsid w:val="6C796AAA"/>
    <w:rsid w:val="6C7C1FB7"/>
    <w:rsid w:val="6C8BBC09"/>
    <w:rsid w:val="6CA4D747"/>
    <w:rsid w:val="6CD720FE"/>
    <w:rsid w:val="6CE23302"/>
    <w:rsid w:val="6CF14D3D"/>
    <w:rsid w:val="6CFCDC0F"/>
    <w:rsid w:val="6D0DF005"/>
    <w:rsid w:val="6D161F87"/>
    <w:rsid w:val="6D1FC0ED"/>
    <w:rsid w:val="6D2092FD"/>
    <w:rsid w:val="6D36F8F5"/>
    <w:rsid w:val="6D554C20"/>
    <w:rsid w:val="6D5B9191"/>
    <w:rsid w:val="6D6DBDA8"/>
    <w:rsid w:val="6D6EF123"/>
    <w:rsid w:val="6D729273"/>
    <w:rsid w:val="6DA33272"/>
    <w:rsid w:val="6DA458AC"/>
    <w:rsid w:val="6DD00B31"/>
    <w:rsid w:val="6E201C27"/>
    <w:rsid w:val="6E3B14A4"/>
    <w:rsid w:val="6E43EAC8"/>
    <w:rsid w:val="6E506AD2"/>
    <w:rsid w:val="6E516D40"/>
    <w:rsid w:val="6E5D3C21"/>
    <w:rsid w:val="6E7A0022"/>
    <w:rsid w:val="6F0A8463"/>
    <w:rsid w:val="6F257587"/>
    <w:rsid w:val="6F28336F"/>
    <w:rsid w:val="6F2F6472"/>
    <w:rsid w:val="6F50607F"/>
    <w:rsid w:val="6F6889B1"/>
    <w:rsid w:val="6F76FEB5"/>
    <w:rsid w:val="6F98D6FA"/>
    <w:rsid w:val="6FB81395"/>
    <w:rsid w:val="6FF46A7E"/>
    <w:rsid w:val="6FF85C91"/>
    <w:rsid w:val="700831E2"/>
    <w:rsid w:val="700E33F7"/>
    <w:rsid w:val="7018743D"/>
    <w:rsid w:val="70215946"/>
    <w:rsid w:val="7029E183"/>
    <w:rsid w:val="70722185"/>
    <w:rsid w:val="7090B259"/>
    <w:rsid w:val="70C553D3"/>
    <w:rsid w:val="70DE5A21"/>
    <w:rsid w:val="70F9DDBB"/>
    <w:rsid w:val="70FF30F6"/>
    <w:rsid w:val="71023BF7"/>
    <w:rsid w:val="71232F13"/>
    <w:rsid w:val="7134482A"/>
    <w:rsid w:val="713EBABA"/>
    <w:rsid w:val="71508033"/>
    <w:rsid w:val="7151B2C6"/>
    <w:rsid w:val="716619C1"/>
    <w:rsid w:val="717589C2"/>
    <w:rsid w:val="718737B7"/>
    <w:rsid w:val="718D64EA"/>
    <w:rsid w:val="719141DA"/>
    <w:rsid w:val="71A7AA2B"/>
    <w:rsid w:val="71AB79E0"/>
    <w:rsid w:val="71E86CC4"/>
    <w:rsid w:val="71FEA57E"/>
    <w:rsid w:val="72065066"/>
    <w:rsid w:val="720A6A18"/>
    <w:rsid w:val="721BB691"/>
    <w:rsid w:val="726515F1"/>
    <w:rsid w:val="726F36D1"/>
    <w:rsid w:val="72916FF6"/>
    <w:rsid w:val="7293AE2B"/>
    <w:rsid w:val="7299F1AE"/>
    <w:rsid w:val="72A6236F"/>
    <w:rsid w:val="72AEA4D5"/>
    <w:rsid w:val="72B880FE"/>
    <w:rsid w:val="72E22C4C"/>
    <w:rsid w:val="730C495D"/>
    <w:rsid w:val="7332825A"/>
    <w:rsid w:val="733CF26E"/>
    <w:rsid w:val="734FF52E"/>
    <w:rsid w:val="7359DFBF"/>
    <w:rsid w:val="737EF1EC"/>
    <w:rsid w:val="7381E95D"/>
    <w:rsid w:val="73A305C9"/>
    <w:rsid w:val="73D7504C"/>
    <w:rsid w:val="73E66AD7"/>
    <w:rsid w:val="73EDECAC"/>
    <w:rsid w:val="73F1A611"/>
    <w:rsid w:val="73F3B825"/>
    <w:rsid w:val="73F5F510"/>
    <w:rsid w:val="7402C20E"/>
    <w:rsid w:val="74159CF2"/>
    <w:rsid w:val="7427C125"/>
    <w:rsid w:val="7428A8B2"/>
    <w:rsid w:val="742C8CCF"/>
    <w:rsid w:val="742F7F93"/>
    <w:rsid w:val="743FEA22"/>
    <w:rsid w:val="74480DE9"/>
    <w:rsid w:val="744B736C"/>
    <w:rsid w:val="746DD290"/>
    <w:rsid w:val="7497AC50"/>
    <w:rsid w:val="749C22F8"/>
    <w:rsid w:val="74AF2808"/>
    <w:rsid w:val="74C1C804"/>
    <w:rsid w:val="74E12A9A"/>
    <w:rsid w:val="74E158F6"/>
    <w:rsid w:val="74E5C8E7"/>
    <w:rsid w:val="74F36561"/>
    <w:rsid w:val="758A3B72"/>
    <w:rsid w:val="75A4E667"/>
    <w:rsid w:val="75D25CB9"/>
    <w:rsid w:val="75D49E76"/>
    <w:rsid w:val="75EE2DBF"/>
    <w:rsid w:val="75F1353A"/>
    <w:rsid w:val="75F1CED3"/>
    <w:rsid w:val="7612A9E0"/>
    <w:rsid w:val="761568CA"/>
    <w:rsid w:val="761A0824"/>
    <w:rsid w:val="76210806"/>
    <w:rsid w:val="762B75E0"/>
    <w:rsid w:val="766B0EEF"/>
    <w:rsid w:val="76710447"/>
    <w:rsid w:val="767D6B5A"/>
    <w:rsid w:val="7690C876"/>
    <w:rsid w:val="76A31C33"/>
    <w:rsid w:val="76C3076D"/>
    <w:rsid w:val="774FE875"/>
    <w:rsid w:val="77748740"/>
    <w:rsid w:val="77B190F2"/>
    <w:rsid w:val="77BDCC97"/>
    <w:rsid w:val="77C6856F"/>
    <w:rsid w:val="77CDB4B3"/>
    <w:rsid w:val="78025D11"/>
    <w:rsid w:val="78371B23"/>
    <w:rsid w:val="78436F15"/>
    <w:rsid w:val="78906CF7"/>
    <w:rsid w:val="7893F7CD"/>
    <w:rsid w:val="78A2D10F"/>
    <w:rsid w:val="79112681"/>
    <w:rsid w:val="7943BC1E"/>
    <w:rsid w:val="79964803"/>
    <w:rsid w:val="79AE0535"/>
    <w:rsid w:val="79AFF8E6"/>
    <w:rsid w:val="79BD8D73"/>
    <w:rsid w:val="79BDF304"/>
    <w:rsid w:val="79DEFE56"/>
    <w:rsid w:val="79EAE459"/>
    <w:rsid w:val="79FBC213"/>
    <w:rsid w:val="7A1223D4"/>
    <w:rsid w:val="7A166524"/>
    <w:rsid w:val="7A478B14"/>
    <w:rsid w:val="7A60E92C"/>
    <w:rsid w:val="7A7F9BCB"/>
    <w:rsid w:val="7AA32735"/>
    <w:rsid w:val="7AADE029"/>
    <w:rsid w:val="7ABDB52D"/>
    <w:rsid w:val="7ABFF841"/>
    <w:rsid w:val="7ACF31AF"/>
    <w:rsid w:val="7ADE46E1"/>
    <w:rsid w:val="7B5F5542"/>
    <w:rsid w:val="7B9A5751"/>
    <w:rsid w:val="7B9CE9C0"/>
    <w:rsid w:val="7C020DC3"/>
    <w:rsid w:val="7C0C441D"/>
    <w:rsid w:val="7C4DB75B"/>
    <w:rsid w:val="7C7421D0"/>
    <w:rsid w:val="7C7B6499"/>
    <w:rsid w:val="7C9C0B8A"/>
    <w:rsid w:val="7CA1F856"/>
    <w:rsid w:val="7CA20D72"/>
    <w:rsid w:val="7CAE79FB"/>
    <w:rsid w:val="7CC2BAE3"/>
    <w:rsid w:val="7CDA84CC"/>
    <w:rsid w:val="7CDD150B"/>
    <w:rsid w:val="7CE2519B"/>
    <w:rsid w:val="7CE6E1FE"/>
    <w:rsid w:val="7D04CB85"/>
    <w:rsid w:val="7D083B39"/>
    <w:rsid w:val="7D0EAFAE"/>
    <w:rsid w:val="7D187801"/>
    <w:rsid w:val="7D192F6D"/>
    <w:rsid w:val="7D245B36"/>
    <w:rsid w:val="7D31D4D9"/>
    <w:rsid w:val="7D61C5D7"/>
    <w:rsid w:val="7D9E8828"/>
    <w:rsid w:val="7DA7860E"/>
    <w:rsid w:val="7DAB76CA"/>
    <w:rsid w:val="7DE6D370"/>
    <w:rsid w:val="7DF9ADB0"/>
    <w:rsid w:val="7DFF3232"/>
    <w:rsid w:val="7E0A5F11"/>
    <w:rsid w:val="7E20CDC2"/>
    <w:rsid w:val="7E22FD05"/>
    <w:rsid w:val="7E2E0C6A"/>
    <w:rsid w:val="7E38F902"/>
    <w:rsid w:val="7E563F15"/>
    <w:rsid w:val="7E63B930"/>
    <w:rsid w:val="7E7ACA96"/>
    <w:rsid w:val="7E7F057F"/>
    <w:rsid w:val="7E8175AC"/>
    <w:rsid w:val="7E979FD4"/>
    <w:rsid w:val="7EA46D5F"/>
    <w:rsid w:val="7EA4956E"/>
    <w:rsid w:val="7EA76170"/>
    <w:rsid w:val="7EB70D62"/>
    <w:rsid w:val="7F163845"/>
    <w:rsid w:val="7F18D7BC"/>
    <w:rsid w:val="7F1AFB47"/>
    <w:rsid w:val="7F3A36AE"/>
    <w:rsid w:val="7F4F28DE"/>
    <w:rsid w:val="7FBFC18C"/>
    <w:rsid w:val="7FC4740A"/>
    <w:rsid w:val="7FFC3F1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7583F"/>
  <w15:chartTrackingRefBased/>
  <w15:docId w15:val="{6B86A6A1-36E9-4A45-81BD-DAAD6FDE5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120" w:line="259" w:lineRule="auto"/>
        <w:ind w:left="754" w:hanging="61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 Statutory Guidance"/>
    <w:basedOn w:val="Normal"/>
    <w:next w:val="Normal"/>
    <w:link w:val="Heading1Char"/>
    <w:uiPriority w:val="9"/>
    <w:qFormat/>
    <w:rsid w:val="00A04AC4"/>
    <w:pPr>
      <w:keepNext/>
      <w:keepLines/>
      <w:spacing w:before="240"/>
      <w:outlineLvl w:val="0"/>
    </w:pPr>
    <w:rPr>
      <w:rFonts w:ascii="Arial" w:eastAsiaTheme="majorEastAsia" w:hAnsi="Arial" w:cstheme="majorBidi"/>
      <w:b/>
      <w:color w:val="2F5496" w:themeColor="accent1" w:themeShade="BF"/>
      <w:sz w:val="36"/>
      <w:szCs w:val="32"/>
    </w:rPr>
  </w:style>
  <w:style w:type="paragraph" w:styleId="Heading2">
    <w:name w:val="heading 2"/>
    <w:aliases w:val="Heading 2 - Statutory Guidance"/>
    <w:basedOn w:val="Normal"/>
    <w:next w:val="Normal"/>
    <w:link w:val="Heading2Char"/>
    <w:uiPriority w:val="9"/>
    <w:unhideWhenUsed/>
    <w:qFormat/>
    <w:rsid w:val="00331488"/>
    <w:pPr>
      <w:keepNext/>
      <w:keepLines/>
      <w:numPr>
        <w:numId w:val="6"/>
      </w:numPr>
      <w:tabs>
        <w:tab w:val="clear" w:pos="360"/>
      </w:tabs>
      <w:spacing w:before="40"/>
      <w:outlineLvl w:val="1"/>
    </w:pPr>
    <w:rPr>
      <w:rFonts w:ascii="Arial" w:eastAsiaTheme="majorEastAsia" w:hAnsi="Arial" w:cstheme="majorBidi"/>
      <w:b/>
      <w:color w:val="2F5496" w:themeColor="accent1" w:themeShade="BF"/>
      <w:sz w:val="28"/>
      <w:szCs w:val="26"/>
    </w:rPr>
  </w:style>
  <w:style w:type="paragraph" w:styleId="Heading3">
    <w:name w:val="heading 3"/>
    <w:basedOn w:val="Normal"/>
    <w:next w:val="Normal"/>
    <w:link w:val="Heading3Char"/>
    <w:uiPriority w:val="9"/>
    <w:unhideWhenUsed/>
    <w:qFormat/>
    <w:rsid w:val="00AA6F3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A6F3F"/>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A6F3F"/>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A6F3F"/>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A6F3F"/>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A6F3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A6F3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7048"/>
    <w:pPr>
      <w:tabs>
        <w:tab w:val="center" w:pos="4513"/>
        <w:tab w:val="right" w:pos="9026"/>
      </w:tabs>
      <w:spacing w:line="240" w:lineRule="auto"/>
    </w:pPr>
  </w:style>
  <w:style w:type="character" w:customStyle="1" w:styleId="HeaderChar">
    <w:name w:val="Header Char"/>
    <w:basedOn w:val="DefaultParagraphFont"/>
    <w:link w:val="Header"/>
    <w:uiPriority w:val="99"/>
    <w:rsid w:val="005D7048"/>
  </w:style>
  <w:style w:type="paragraph" w:styleId="Footer">
    <w:name w:val="footer"/>
    <w:basedOn w:val="Normal"/>
    <w:link w:val="FooterChar"/>
    <w:uiPriority w:val="99"/>
    <w:unhideWhenUsed/>
    <w:rsid w:val="005D7048"/>
    <w:pPr>
      <w:tabs>
        <w:tab w:val="center" w:pos="4513"/>
        <w:tab w:val="right" w:pos="9026"/>
      </w:tabs>
      <w:spacing w:line="240" w:lineRule="auto"/>
    </w:pPr>
  </w:style>
  <w:style w:type="character" w:customStyle="1" w:styleId="FooterChar">
    <w:name w:val="Footer Char"/>
    <w:basedOn w:val="DefaultParagraphFont"/>
    <w:link w:val="Footer"/>
    <w:uiPriority w:val="99"/>
    <w:rsid w:val="005D7048"/>
  </w:style>
  <w:style w:type="character" w:customStyle="1" w:styleId="normaltextrun">
    <w:name w:val="normaltextrun"/>
    <w:basedOn w:val="DefaultParagraphFont"/>
    <w:rsid w:val="005D7048"/>
  </w:style>
  <w:style w:type="character" w:customStyle="1" w:styleId="eop">
    <w:name w:val="eop"/>
    <w:basedOn w:val="DefaultParagraphFont"/>
    <w:rsid w:val="005D7048"/>
  </w:style>
  <w:style w:type="paragraph" w:customStyle="1" w:styleId="paragraph">
    <w:name w:val="paragraph"/>
    <w:basedOn w:val="Normal"/>
    <w:rsid w:val="005D70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uperscript">
    <w:name w:val="superscript"/>
    <w:basedOn w:val="DefaultParagraphFont"/>
    <w:rsid w:val="005D7048"/>
  </w:style>
  <w:style w:type="numbering" w:customStyle="1" w:styleId="CurrentList1">
    <w:name w:val="Current List1"/>
    <w:uiPriority w:val="99"/>
    <w:rsid w:val="005D7048"/>
    <w:pPr>
      <w:numPr>
        <w:numId w:val="1"/>
      </w:numPr>
    </w:pPr>
  </w:style>
  <w:style w:type="paragraph" w:styleId="Revision">
    <w:name w:val="Revision"/>
    <w:hidden/>
    <w:uiPriority w:val="99"/>
    <w:semiHidden/>
    <w:rsid w:val="00B1621F"/>
    <w:pPr>
      <w:spacing w:line="240" w:lineRule="auto"/>
    </w:pPr>
  </w:style>
  <w:style w:type="character" w:styleId="CommentReference">
    <w:name w:val="annotation reference"/>
    <w:basedOn w:val="DefaultParagraphFont"/>
    <w:uiPriority w:val="99"/>
    <w:unhideWhenUsed/>
    <w:rsid w:val="00B1621F"/>
    <w:rPr>
      <w:sz w:val="16"/>
      <w:szCs w:val="16"/>
    </w:rPr>
  </w:style>
  <w:style w:type="paragraph" w:styleId="CommentText">
    <w:name w:val="annotation text"/>
    <w:basedOn w:val="Normal"/>
    <w:link w:val="CommentTextChar"/>
    <w:uiPriority w:val="99"/>
    <w:unhideWhenUsed/>
    <w:rsid w:val="00B1621F"/>
    <w:pPr>
      <w:spacing w:line="240" w:lineRule="auto"/>
    </w:pPr>
    <w:rPr>
      <w:sz w:val="20"/>
      <w:szCs w:val="20"/>
    </w:rPr>
  </w:style>
  <w:style w:type="character" w:customStyle="1" w:styleId="CommentTextChar">
    <w:name w:val="Comment Text Char"/>
    <w:basedOn w:val="DefaultParagraphFont"/>
    <w:link w:val="CommentText"/>
    <w:uiPriority w:val="99"/>
    <w:rsid w:val="00B1621F"/>
    <w:rPr>
      <w:sz w:val="20"/>
      <w:szCs w:val="20"/>
    </w:rPr>
  </w:style>
  <w:style w:type="paragraph" w:styleId="CommentSubject">
    <w:name w:val="annotation subject"/>
    <w:basedOn w:val="CommentText"/>
    <w:next w:val="CommentText"/>
    <w:link w:val="CommentSubjectChar"/>
    <w:uiPriority w:val="99"/>
    <w:semiHidden/>
    <w:unhideWhenUsed/>
    <w:rsid w:val="00B1621F"/>
    <w:rPr>
      <w:b/>
      <w:bCs/>
    </w:rPr>
  </w:style>
  <w:style w:type="character" w:customStyle="1" w:styleId="CommentSubjectChar">
    <w:name w:val="Comment Subject Char"/>
    <w:basedOn w:val="CommentTextChar"/>
    <w:link w:val="CommentSubject"/>
    <w:uiPriority w:val="99"/>
    <w:semiHidden/>
    <w:rsid w:val="00B1621F"/>
    <w:rPr>
      <w:b/>
      <w:bCs/>
      <w:sz w:val="20"/>
      <w:szCs w:val="20"/>
    </w:rPr>
  </w:style>
  <w:style w:type="paragraph" w:styleId="FootnoteText">
    <w:name w:val="footnote text"/>
    <w:basedOn w:val="Normal"/>
    <w:link w:val="FootnoteTextChar"/>
    <w:uiPriority w:val="99"/>
    <w:semiHidden/>
    <w:unhideWhenUsed/>
    <w:rsid w:val="00BB397F"/>
    <w:pPr>
      <w:spacing w:line="240" w:lineRule="auto"/>
    </w:pPr>
    <w:rPr>
      <w:sz w:val="20"/>
      <w:szCs w:val="20"/>
    </w:rPr>
  </w:style>
  <w:style w:type="character" w:customStyle="1" w:styleId="FootnoteTextChar">
    <w:name w:val="Footnote Text Char"/>
    <w:basedOn w:val="DefaultParagraphFont"/>
    <w:link w:val="FootnoteText"/>
    <w:uiPriority w:val="99"/>
    <w:semiHidden/>
    <w:rsid w:val="00BB397F"/>
    <w:rPr>
      <w:sz w:val="20"/>
      <w:szCs w:val="20"/>
    </w:rPr>
  </w:style>
  <w:style w:type="character" w:styleId="FootnoteReference">
    <w:name w:val="footnote reference"/>
    <w:basedOn w:val="DefaultParagraphFont"/>
    <w:uiPriority w:val="99"/>
    <w:semiHidden/>
    <w:unhideWhenUsed/>
    <w:rsid w:val="00BB397F"/>
    <w:rPr>
      <w:vertAlign w:val="superscript"/>
    </w:rPr>
  </w:style>
  <w:style w:type="character" w:customStyle="1" w:styleId="findhit">
    <w:name w:val="findhit"/>
    <w:basedOn w:val="DefaultParagraphFont"/>
    <w:rsid w:val="00523211"/>
  </w:style>
  <w:style w:type="paragraph" w:styleId="ListParagraph">
    <w:name w:val="List Paragraph"/>
    <w:aliases w:val="F5 List Paragraph,Bullet Points,Dot pt,List Paragraph1,Colorful List - Accent 11,No Spacing1,List Paragraph Char Char Char,Indicator Text,Numbered Para 1,Bullet 1,List Paragraph2,MAIN CONTENT,List Paragraph12,OBC Bullet,List Paragraph11,L"/>
    <w:basedOn w:val="Normal"/>
    <w:link w:val="ListParagraphChar"/>
    <w:uiPriority w:val="34"/>
    <w:qFormat/>
    <w:rsid w:val="00121352"/>
    <w:pPr>
      <w:ind w:left="720"/>
      <w:contextualSpacing/>
    </w:p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sid w:val="00A72214"/>
    <w:rPr>
      <w:color w:val="0563C1" w:themeColor="hyperlink"/>
      <w:u w:val="single"/>
    </w:rPr>
  </w:style>
  <w:style w:type="character" w:styleId="UnresolvedMention">
    <w:name w:val="Unresolved Mention"/>
    <w:basedOn w:val="DefaultParagraphFont"/>
    <w:uiPriority w:val="99"/>
    <w:unhideWhenUsed/>
    <w:rsid w:val="00A72214"/>
    <w:rPr>
      <w:color w:val="605E5C"/>
      <w:shd w:val="clear" w:color="auto" w:fill="E1DFDD"/>
    </w:rPr>
  </w:style>
  <w:style w:type="paragraph" w:styleId="NormalWeb">
    <w:name w:val="Normal (Web)"/>
    <w:basedOn w:val="Normal"/>
    <w:uiPriority w:val="99"/>
    <w:unhideWhenUsed/>
    <w:rsid w:val="00DF41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aliases w:val="Heading 1 - Statutory Guidance Char"/>
    <w:basedOn w:val="DefaultParagraphFont"/>
    <w:link w:val="Heading1"/>
    <w:uiPriority w:val="9"/>
    <w:rsid w:val="00A04AC4"/>
    <w:rPr>
      <w:rFonts w:ascii="Arial" w:eastAsiaTheme="majorEastAsia" w:hAnsi="Arial" w:cstheme="majorBidi"/>
      <w:b/>
      <w:color w:val="2F5496" w:themeColor="accent1" w:themeShade="BF"/>
      <w:sz w:val="36"/>
      <w:szCs w:val="32"/>
    </w:rPr>
  </w:style>
  <w:style w:type="paragraph" w:styleId="TOCHeading">
    <w:name w:val="TOC Heading"/>
    <w:basedOn w:val="Heading1"/>
    <w:next w:val="Normal"/>
    <w:uiPriority w:val="39"/>
    <w:unhideWhenUsed/>
    <w:qFormat/>
    <w:rsid w:val="00AC1F97"/>
    <w:pPr>
      <w:outlineLvl w:val="9"/>
    </w:pPr>
    <w:rPr>
      <w:lang w:val="en-US"/>
    </w:rPr>
  </w:style>
  <w:style w:type="character" w:customStyle="1" w:styleId="Heading2Char">
    <w:name w:val="Heading 2 Char"/>
    <w:aliases w:val="Heading 2 - Statutory Guidance Char"/>
    <w:basedOn w:val="DefaultParagraphFont"/>
    <w:link w:val="Heading2"/>
    <w:uiPriority w:val="9"/>
    <w:rsid w:val="00331488"/>
    <w:rPr>
      <w:rFonts w:ascii="Arial" w:eastAsiaTheme="majorEastAsia" w:hAnsi="Arial" w:cstheme="majorBidi"/>
      <w:b/>
      <w:color w:val="2F5496" w:themeColor="accent1" w:themeShade="BF"/>
      <w:sz w:val="28"/>
      <w:szCs w:val="26"/>
    </w:rPr>
  </w:style>
  <w:style w:type="character" w:customStyle="1" w:styleId="Heading3Char">
    <w:name w:val="Heading 3 Char"/>
    <w:basedOn w:val="DefaultParagraphFont"/>
    <w:link w:val="Heading3"/>
    <w:uiPriority w:val="9"/>
    <w:rsid w:val="00AA6F3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AA6F3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AA6F3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A6F3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A6F3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A6F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A6F3F"/>
    <w:rPr>
      <w:rFonts w:asciiTheme="majorHAnsi" w:eastAsiaTheme="majorEastAsia" w:hAnsiTheme="majorHAnsi" w:cstheme="majorBidi"/>
      <w:i/>
      <w:iCs/>
      <w:color w:val="272727" w:themeColor="text1" w:themeTint="D8"/>
      <w:sz w:val="21"/>
      <w:szCs w:val="21"/>
    </w:rPr>
  </w:style>
  <w:style w:type="paragraph" w:styleId="TOC2">
    <w:name w:val="toc 2"/>
    <w:basedOn w:val="Normal"/>
    <w:next w:val="Normal"/>
    <w:autoRedefine/>
    <w:uiPriority w:val="39"/>
    <w:unhideWhenUsed/>
    <w:rsid w:val="00F732D0"/>
    <w:pPr>
      <w:pBdr>
        <w:between w:val="double" w:sz="6" w:space="0" w:color="auto"/>
      </w:pBdr>
      <w:tabs>
        <w:tab w:val="left" w:pos="660"/>
        <w:tab w:val="right" w:pos="9016"/>
      </w:tabs>
      <w:spacing w:after="120"/>
      <w:jc w:val="center"/>
    </w:pPr>
    <w:rPr>
      <w:rFonts w:cstheme="minorHAnsi"/>
      <w:i/>
      <w:iCs/>
      <w:sz w:val="20"/>
      <w:szCs w:val="20"/>
    </w:rPr>
  </w:style>
  <w:style w:type="paragraph" w:styleId="TOC1">
    <w:name w:val="toc 1"/>
    <w:basedOn w:val="Normal"/>
    <w:next w:val="Normal"/>
    <w:autoRedefine/>
    <w:uiPriority w:val="39"/>
    <w:unhideWhenUsed/>
    <w:rsid w:val="0051557D"/>
    <w:pPr>
      <w:pBdr>
        <w:between w:val="double" w:sz="6" w:space="0" w:color="auto"/>
      </w:pBdr>
      <w:tabs>
        <w:tab w:val="right" w:pos="9016"/>
      </w:tabs>
      <w:spacing w:after="120"/>
    </w:pPr>
    <w:rPr>
      <w:rFonts w:ascii="Arial" w:hAnsi="Arial" w:cs="Arial"/>
      <w:b/>
      <w:bCs/>
      <w:noProof/>
      <w:sz w:val="24"/>
      <w:szCs w:val="24"/>
    </w:rPr>
  </w:style>
  <w:style w:type="paragraph" w:styleId="TOC3">
    <w:name w:val="toc 3"/>
    <w:basedOn w:val="Normal"/>
    <w:next w:val="Normal"/>
    <w:autoRedefine/>
    <w:uiPriority w:val="39"/>
    <w:unhideWhenUsed/>
    <w:rsid w:val="00604BA8"/>
    <w:pPr>
      <w:pBdr>
        <w:between w:val="double" w:sz="6" w:space="0" w:color="auto"/>
      </w:pBdr>
      <w:spacing w:after="120"/>
      <w:ind w:left="220"/>
      <w:jc w:val="center"/>
    </w:pPr>
    <w:rPr>
      <w:rFonts w:cstheme="minorHAnsi"/>
      <w:sz w:val="20"/>
      <w:szCs w:val="20"/>
    </w:rPr>
  </w:style>
  <w:style w:type="paragraph" w:styleId="TOC4">
    <w:name w:val="toc 4"/>
    <w:basedOn w:val="Normal"/>
    <w:next w:val="Normal"/>
    <w:autoRedefine/>
    <w:uiPriority w:val="39"/>
    <w:unhideWhenUsed/>
    <w:rsid w:val="00604BA8"/>
    <w:pPr>
      <w:pBdr>
        <w:between w:val="double" w:sz="6" w:space="0" w:color="auto"/>
      </w:pBdr>
      <w:spacing w:after="120"/>
      <w:ind w:left="440"/>
      <w:jc w:val="center"/>
    </w:pPr>
    <w:rPr>
      <w:rFonts w:cstheme="minorHAnsi"/>
      <w:sz w:val="20"/>
      <w:szCs w:val="20"/>
    </w:rPr>
  </w:style>
  <w:style w:type="paragraph" w:styleId="TOC5">
    <w:name w:val="toc 5"/>
    <w:basedOn w:val="Normal"/>
    <w:next w:val="Normal"/>
    <w:autoRedefine/>
    <w:uiPriority w:val="39"/>
    <w:unhideWhenUsed/>
    <w:rsid w:val="00604BA8"/>
    <w:pPr>
      <w:pBdr>
        <w:between w:val="double" w:sz="6" w:space="0" w:color="auto"/>
      </w:pBdr>
      <w:spacing w:after="120"/>
      <w:ind w:left="660"/>
      <w:jc w:val="center"/>
    </w:pPr>
    <w:rPr>
      <w:rFonts w:cstheme="minorHAnsi"/>
      <w:sz w:val="20"/>
      <w:szCs w:val="20"/>
    </w:rPr>
  </w:style>
  <w:style w:type="paragraph" w:styleId="TOC6">
    <w:name w:val="toc 6"/>
    <w:basedOn w:val="Normal"/>
    <w:next w:val="Normal"/>
    <w:autoRedefine/>
    <w:uiPriority w:val="39"/>
    <w:unhideWhenUsed/>
    <w:rsid w:val="00604BA8"/>
    <w:pPr>
      <w:pBdr>
        <w:between w:val="double" w:sz="6" w:space="0" w:color="auto"/>
      </w:pBdr>
      <w:spacing w:after="120"/>
      <w:ind w:left="880"/>
      <w:jc w:val="center"/>
    </w:pPr>
    <w:rPr>
      <w:rFonts w:cstheme="minorHAnsi"/>
      <w:sz w:val="20"/>
      <w:szCs w:val="20"/>
    </w:rPr>
  </w:style>
  <w:style w:type="paragraph" w:styleId="TOC7">
    <w:name w:val="toc 7"/>
    <w:basedOn w:val="Normal"/>
    <w:next w:val="Normal"/>
    <w:autoRedefine/>
    <w:uiPriority w:val="39"/>
    <w:unhideWhenUsed/>
    <w:rsid w:val="00604BA8"/>
    <w:pPr>
      <w:pBdr>
        <w:between w:val="double" w:sz="6" w:space="0" w:color="auto"/>
      </w:pBdr>
      <w:spacing w:after="120"/>
      <w:ind w:left="1100"/>
      <w:jc w:val="center"/>
    </w:pPr>
    <w:rPr>
      <w:rFonts w:cstheme="minorHAnsi"/>
      <w:sz w:val="20"/>
      <w:szCs w:val="20"/>
    </w:rPr>
  </w:style>
  <w:style w:type="paragraph" w:styleId="TOC8">
    <w:name w:val="toc 8"/>
    <w:basedOn w:val="Normal"/>
    <w:next w:val="Normal"/>
    <w:autoRedefine/>
    <w:uiPriority w:val="39"/>
    <w:unhideWhenUsed/>
    <w:rsid w:val="00604BA8"/>
    <w:pPr>
      <w:pBdr>
        <w:between w:val="double" w:sz="6" w:space="0" w:color="auto"/>
      </w:pBdr>
      <w:spacing w:after="120"/>
      <w:ind w:left="1320"/>
      <w:jc w:val="center"/>
    </w:pPr>
    <w:rPr>
      <w:rFonts w:cstheme="minorHAnsi"/>
      <w:sz w:val="20"/>
      <w:szCs w:val="20"/>
    </w:rPr>
  </w:style>
  <w:style w:type="paragraph" w:styleId="TOC9">
    <w:name w:val="toc 9"/>
    <w:basedOn w:val="Normal"/>
    <w:next w:val="Normal"/>
    <w:autoRedefine/>
    <w:uiPriority w:val="39"/>
    <w:unhideWhenUsed/>
    <w:rsid w:val="00604BA8"/>
    <w:pPr>
      <w:pBdr>
        <w:between w:val="double" w:sz="6" w:space="0" w:color="auto"/>
      </w:pBdr>
      <w:spacing w:after="120"/>
      <w:ind w:left="1540"/>
      <w:jc w:val="center"/>
    </w:pPr>
    <w:rPr>
      <w:rFonts w:cstheme="minorHAnsi"/>
      <w:sz w:val="20"/>
      <w:szCs w:val="20"/>
    </w:rPr>
  </w:style>
  <w:style w:type="paragraph" w:customStyle="1" w:styleId="StatutoryGuidanceNumbers">
    <w:name w:val="Statutory Guidance Numbers"/>
    <w:basedOn w:val="Heading3"/>
    <w:link w:val="StatutoryGuidanceNumbersChar"/>
    <w:rsid w:val="00742491"/>
    <w:rPr>
      <w:rFonts w:ascii="Arial" w:hAnsi="Arial" w:cs="Arial"/>
      <w:color w:val="auto"/>
      <w:sz w:val="22"/>
      <w:szCs w:val="22"/>
    </w:rPr>
  </w:style>
  <w:style w:type="paragraph" w:customStyle="1" w:styleId="StatutoryGuidanceMainText">
    <w:name w:val="Statutory Guidance Main Text"/>
    <w:basedOn w:val="Normal"/>
    <w:link w:val="StatutoryGuidanceMainTextChar"/>
    <w:qFormat/>
    <w:rsid w:val="00177F72"/>
    <w:pPr>
      <w:numPr>
        <w:numId w:val="7"/>
      </w:numPr>
    </w:pPr>
    <w:rPr>
      <w:rFonts w:ascii="Arial" w:hAnsi="Arial" w:cs="Arial"/>
    </w:rPr>
  </w:style>
  <w:style w:type="character" w:customStyle="1" w:styleId="StatutoryGuidanceNumbersChar">
    <w:name w:val="Statutory Guidance Numbers Char"/>
    <w:basedOn w:val="Heading2Char"/>
    <w:link w:val="StatutoryGuidanceNumbers"/>
    <w:rsid w:val="00742491"/>
    <w:rPr>
      <w:rFonts w:ascii="Arial" w:eastAsiaTheme="majorEastAsia" w:hAnsi="Arial" w:cs="Arial"/>
      <w:b/>
      <w:color w:val="2F5496" w:themeColor="accent1" w:themeShade="BF"/>
      <w:sz w:val="28"/>
      <w:szCs w:val="26"/>
    </w:rPr>
  </w:style>
  <w:style w:type="character" w:customStyle="1" w:styleId="StatutoryGuidanceMainTextChar">
    <w:name w:val="Statutory Guidance Main Text Char"/>
    <w:basedOn w:val="Heading2Char"/>
    <w:link w:val="StatutoryGuidanceMainText"/>
    <w:rsid w:val="00331488"/>
    <w:rPr>
      <w:rFonts w:ascii="Arial" w:eastAsiaTheme="majorEastAsia" w:hAnsi="Arial" w:cs="Arial"/>
      <w:b w:val="0"/>
      <w:color w:val="2F5496" w:themeColor="accent1" w:themeShade="BF"/>
      <w:sz w:val="28"/>
      <w:szCs w:val="26"/>
    </w:rPr>
  </w:style>
  <w:style w:type="character" w:styleId="FollowedHyperlink">
    <w:name w:val="FollowedHyperlink"/>
    <w:basedOn w:val="DefaultParagraphFont"/>
    <w:uiPriority w:val="99"/>
    <w:semiHidden/>
    <w:unhideWhenUsed/>
    <w:rsid w:val="00E21CB9"/>
    <w:rPr>
      <w:color w:val="954F72" w:themeColor="followedHyperlink"/>
      <w:u w:val="single"/>
    </w:rPr>
  </w:style>
  <w:style w:type="numbering" w:customStyle="1" w:styleId="StatutoryGuidanceText">
    <w:name w:val="Statutory Guidance Text"/>
    <w:uiPriority w:val="99"/>
    <w:rsid w:val="00A77A82"/>
    <w:pPr>
      <w:numPr>
        <w:numId w:val="8"/>
      </w:numPr>
    </w:pPr>
  </w:style>
  <w:style w:type="paragraph" w:styleId="NoSpacing">
    <w:name w:val="No Spacing"/>
    <w:uiPriority w:val="1"/>
    <w:qFormat/>
    <w:rsid w:val="00767F68"/>
    <w:pPr>
      <w:spacing w:line="240" w:lineRule="auto"/>
    </w:pPr>
  </w:style>
  <w:style w:type="paragraph" w:customStyle="1" w:styleId="legclearfix">
    <w:name w:val="legclearfix"/>
    <w:basedOn w:val="Normal"/>
    <w:rsid w:val="004D41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4D41A9"/>
  </w:style>
  <w:style w:type="character" w:customStyle="1" w:styleId="legamendingtext">
    <w:name w:val="legamendingtext"/>
    <w:basedOn w:val="DefaultParagraphFont"/>
    <w:rsid w:val="004D41A9"/>
  </w:style>
  <w:style w:type="character" w:customStyle="1" w:styleId="legamendquote">
    <w:name w:val="legamendquote"/>
    <w:basedOn w:val="DefaultParagraphFont"/>
    <w:rsid w:val="004D41A9"/>
  </w:style>
  <w:style w:type="paragraph" w:customStyle="1" w:styleId="leglisttextstandard">
    <w:name w:val="leglisttextstandard"/>
    <w:basedOn w:val="Normal"/>
    <w:rsid w:val="00C65E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aliases w:val="F5 List Paragraph Char,Bullet Points Char,Dot pt Char,List Paragraph1 Char,Colorful List - Accent 11 Char,No Spacing1 Char,List Paragraph Char Char Char Char,Indicator Text Char,Numbered Para 1 Char,Bullet 1 Char,List Paragraph2 Char"/>
    <w:basedOn w:val="DefaultParagraphFont"/>
    <w:link w:val="ListParagraph"/>
    <w:uiPriority w:val="34"/>
    <w:qFormat/>
    <w:locked/>
    <w:rsid w:val="002E5FB9"/>
  </w:style>
  <w:style w:type="paragraph" w:styleId="List4">
    <w:name w:val="List 4"/>
    <w:basedOn w:val="Normal"/>
    <w:uiPriority w:val="99"/>
    <w:semiHidden/>
    <w:unhideWhenUsed/>
    <w:rsid w:val="00A75118"/>
    <w:pPr>
      <w:spacing w:before="0" w:after="160"/>
      <w:ind w:left="1132"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87181">
      <w:bodyDiv w:val="1"/>
      <w:marLeft w:val="0"/>
      <w:marRight w:val="0"/>
      <w:marTop w:val="0"/>
      <w:marBottom w:val="0"/>
      <w:divBdr>
        <w:top w:val="none" w:sz="0" w:space="0" w:color="auto"/>
        <w:left w:val="none" w:sz="0" w:space="0" w:color="auto"/>
        <w:bottom w:val="none" w:sz="0" w:space="0" w:color="auto"/>
        <w:right w:val="none" w:sz="0" w:space="0" w:color="auto"/>
      </w:divBdr>
      <w:divsChild>
        <w:div w:id="77796530">
          <w:marLeft w:val="0"/>
          <w:marRight w:val="0"/>
          <w:marTop w:val="0"/>
          <w:marBottom w:val="0"/>
          <w:divBdr>
            <w:top w:val="none" w:sz="0" w:space="0" w:color="auto"/>
            <w:left w:val="none" w:sz="0" w:space="0" w:color="auto"/>
            <w:bottom w:val="none" w:sz="0" w:space="0" w:color="auto"/>
            <w:right w:val="none" w:sz="0" w:space="0" w:color="auto"/>
          </w:divBdr>
        </w:div>
        <w:div w:id="122388181">
          <w:marLeft w:val="0"/>
          <w:marRight w:val="0"/>
          <w:marTop w:val="0"/>
          <w:marBottom w:val="0"/>
          <w:divBdr>
            <w:top w:val="none" w:sz="0" w:space="0" w:color="auto"/>
            <w:left w:val="none" w:sz="0" w:space="0" w:color="auto"/>
            <w:bottom w:val="none" w:sz="0" w:space="0" w:color="auto"/>
            <w:right w:val="none" w:sz="0" w:space="0" w:color="auto"/>
          </w:divBdr>
        </w:div>
        <w:div w:id="124082057">
          <w:marLeft w:val="0"/>
          <w:marRight w:val="0"/>
          <w:marTop w:val="0"/>
          <w:marBottom w:val="0"/>
          <w:divBdr>
            <w:top w:val="none" w:sz="0" w:space="0" w:color="auto"/>
            <w:left w:val="none" w:sz="0" w:space="0" w:color="auto"/>
            <w:bottom w:val="none" w:sz="0" w:space="0" w:color="auto"/>
            <w:right w:val="none" w:sz="0" w:space="0" w:color="auto"/>
          </w:divBdr>
        </w:div>
        <w:div w:id="157505996">
          <w:marLeft w:val="0"/>
          <w:marRight w:val="0"/>
          <w:marTop w:val="0"/>
          <w:marBottom w:val="0"/>
          <w:divBdr>
            <w:top w:val="none" w:sz="0" w:space="0" w:color="auto"/>
            <w:left w:val="none" w:sz="0" w:space="0" w:color="auto"/>
            <w:bottom w:val="none" w:sz="0" w:space="0" w:color="auto"/>
            <w:right w:val="none" w:sz="0" w:space="0" w:color="auto"/>
          </w:divBdr>
        </w:div>
        <w:div w:id="162285594">
          <w:marLeft w:val="0"/>
          <w:marRight w:val="0"/>
          <w:marTop w:val="0"/>
          <w:marBottom w:val="0"/>
          <w:divBdr>
            <w:top w:val="none" w:sz="0" w:space="0" w:color="auto"/>
            <w:left w:val="none" w:sz="0" w:space="0" w:color="auto"/>
            <w:bottom w:val="none" w:sz="0" w:space="0" w:color="auto"/>
            <w:right w:val="none" w:sz="0" w:space="0" w:color="auto"/>
          </w:divBdr>
        </w:div>
        <w:div w:id="216554944">
          <w:marLeft w:val="0"/>
          <w:marRight w:val="0"/>
          <w:marTop w:val="0"/>
          <w:marBottom w:val="0"/>
          <w:divBdr>
            <w:top w:val="none" w:sz="0" w:space="0" w:color="auto"/>
            <w:left w:val="none" w:sz="0" w:space="0" w:color="auto"/>
            <w:bottom w:val="none" w:sz="0" w:space="0" w:color="auto"/>
            <w:right w:val="none" w:sz="0" w:space="0" w:color="auto"/>
          </w:divBdr>
        </w:div>
        <w:div w:id="267589908">
          <w:marLeft w:val="0"/>
          <w:marRight w:val="0"/>
          <w:marTop w:val="0"/>
          <w:marBottom w:val="0"/>
          <w:divBdr>
            <w:top w:val="none" w:sz="0" w:space="0" w:color="auto"/>
            <w:left w:val="none" w:sz="0" w:space="0" w:color="auto"/>
            <w:bottom w:val="none" w:sz="0" w:space="0" w:color="auto"/>
            <w:right w:val="none" w:sz="0" w:space="0" w:color="auto"/>
          </w:divBdr>
        </w:div>
        <w:div w:id="305595167">
          <w:marLeft w:val="0"/>
          <w:marRight w:val="0"/>
          <w:marTop w:val="0"/>
          <w:marBottom w:val="0"/>
          <w:divBdr>
            <w:top w:val="none" w:sz="0" w:space="0" w:color="auto"/>
            <w:left w:val="none" w:sz="0" w:space="0" w:color="auto"/>
            <w:bottom w:val="none" w:sz="0" w:space="0" w:color="auto"/>
            <w:right w:val="none" w:sz="0" w:space="0" w:color="auto"/>
          </w:divBdr>
        </w:div>
        <w:div w:id="316224847">
          <w:marLeft w:val="0"/>
          <w:marRight w:val="0"/>
          <w:marTop w:val="0"/>
          <w:marBottom w:val="0"/>
          <w:divBdr>
            <w:top w:val="none" w:sz="0" w:space="0" w:color="auto"/>
            <w:left w:val="none" w:sz="0" w:space="0" w:color="auto"/>
            <w:bottom w:val="none" w:sz="0" w:space="0" w:color="auto"/>
            <w:right w:val="none" w:sz="0" w:space="0" w:color="auto"/>
          </w:divBdr>
        </w:div>
        <w:div w:id="360398775">
          <w:marLeft w:val="0"/>
          <w:marRight w:val="0"/>
          <w:marTop w:val="0"/>
          <w:marBottom w:val="0"/>
          <w:divBdr>
            <w:top w:val="none" w:sz="0" w:space="0" w:color="auto"/>
            <w:left w:val="none" w:sz="0" w:space="0" w:color="auto"/>
            <w:bottom w:val="none" w:sz="0" w:space="0" w:color="auto"/>
            <w:right w:val="none" w:sz="0" w:space="0" w:color="auto"/>
          </w:divBdr>
        </w:div>
        <w:div w:id="360671808">
          <w:marLeft w:val="0"/>
          <w:marRight w:val="0"/>
          <w:marTop w:val="0"/>
          <w:marBottom w:val="0"/>
          <w:divBdr>
            <w:top w:val="none" w:sz="0" w:space="0" w:color="auto"/>
            <w:left w:val="none" w:sz="0" w:space="0" w:color="auto"/>
            <w:bottom w:val="none" w:sz="0" w:space="0" w:color="auto"/>
            <w:right w:val="none" w:sz="0" w:space="0" w:color="auto"/>
          </w:divBdr>
        </w:div>
        <w:div w:id="396786658">
          <w:marLeft w:val="0"/>
          <w:marRight w:val="0"/>
          <w:marTop w:val="0"/>
          <w:marBottom w:val="0"/>
          <w:divBdr>
            <w:top w:val="none" w:sz="0" w:space="0" w:color="auto"/>
            <w:left w:val="none" w:sz="0" w:space="0" w:color="auto"/>
            <w:bottom w:val="none" w:sz="0" w:space="0" w:color="auto"/>
            <w:right w:val="none" w:sz="0" w:space="0" w:color="auto"/>
          </w:divBdr>
        </w:div>
        <w:div w:id="422653097">
          <w:marLeft w:val="0"/>
          <w:marRight w:val="0"/>
          <w:marTop w:val="0"/>
          <w:marBottom w:val="0"/>
          <w:divBdr>
            <w:top w:val="none" w:sz="0" w:space="0" w:color="auto"/>
            <w:left w:val="none" w:sz="0" w:space="0" w:color="auto"/>
            <w:bottom w:val="none" w:sz="0" w:space="0" w:color="auto"/>
            <w:right w:val="none" w:sz="0" w:space="0" w:color="auto"/>
          </w:divBdr>
        </w:div>
        <w:div w:id="434793043">
          <w:marLeft w:val="0"/>
          <w:marRight w:val="0"/>
          <w:marTop w:val="0"/>
          <w:marBottom w:val="0"/>
          <w:divBdr>
            <w:top w:val="none" w:sz="0" w:space="0" w:color="auto"/>
            <w:left w:val="none" w:sz="0" w:space="0" w:color="auto"/>
            <w:bottom w:val="none" w:sz="0" w:space="0" w:color="auto"/>
            <w:right w:val="none" w:sz="0" w:space="0" w:color="auto"/>
          </w:divBdr>
        </w:div>
        <w:div w:id="453866886">
          <w:marLeft w:val="0"/>
          <w:marRight w:val="0"/>
          <w:marTop w:val="0"/>
          <w:marBottom w:val="0"/>
          <w:divBdr>
            <w:top w:val="none" w:sz="0" w:space="0" w:color="auto"/>
            <w:left w:val="none" w:sz="0" w:space="0" w:color="auto"/>
            <w:bottom w:val="none" w:sz="0" w:space="0" w:color="auto"/>
            <w:right w:val="none" w:sz="0" w:space="0" w:color="auto"/>
          </w:divBdr>
        </w:div>
        <w:div w:id="458963842">
          <w:marLeft w:val="0"/>
          <w:marRight w:val="0"/>
          <w:marTop w:val="0"/>
          <w:marBottom w:val="0"/>
          <w:divBdr>
            <w:top w:val="none" w:sz="0" w:space="0" w:color="auto"/>
            <w:left w:val="none" w:sz="0" w:space="0" w:color="auto"/>
            <w:bottom w:val="none" w:sz="0" w:space="0" w:color="auto"/>
            <w:right w:val="none" w:sz="0" w:space="0" w:color="auto"/>
          </w:divBdr>
        </w:div>
        <w:div w:id="471799773">
          <w:marLeft w:val="0"/>
          <w:marRight w:val="0"/>
          <w:marTop w:val="0"/>
          <w:marBottom w:val="0"/>
          <w:divBdr>
            <w:top w:val="none" w:sz="0" w:space="0" w:color="auto"/>
            <w:left w:val="none" w:sz="0" w:space="0" w:color="auto"/>
            <w:bottom w:val="none" w:sz="0" w:space="0" w:color="auto"/>
            <w:right w:val="none" w:sz="0" w:space="0" w:color="auto"/>
          </w:divBdr>
        </w:div>
        <w:div w:id="487403770">
          <w:marLeft w:val="0"/>
          <w:marRight w:val="0"/>
          <w:marTop w:val="0"/>
          <w:marBottom w:val="0"/>
          <w:divBdr>
            <w:top w:val="none" w:sz="0" w:space="0" w:color="auto"/>
            <w:left w:val="none" w:sz="0" w:space="0" w:color="auto"/>
            <w:bottom w:val="none" w:sz="0" w:space="0" w:color="auto"/>
            <w:right w:val="none" w:sz="0" w:space="0" w:color="auto"/>
          </w:divBdr>
        </w:div>
        <w:div w:id="501704657">
          <w:marLeft w:val="0"/>
          <w:marRight w:val="0"/>
          <w:marTop w:val="0"/>
          <w:marBottom w:val="0"/>
          <w:divBdr>
            <w:top w:val="none" w:sz="0" w:space="0" w:color="auto"/>
            <w:left w:val="none" w:sz="0" w:space="0" w:color="auto"/>
            <w:bottom w:val="none" w:sz="0" w:space="0" w:color="auto"/>
            <w:right w:val="none" w:sz="0" w:space="0" w:color="auto"/>
          </w:divBdr>
        </w:div>
        <w:div w:id="544609279">
          <w:marLeft w:val="0"/>
          <w:marRight w:val="0"/>
          <w:marTop w:val="0"/>
          <w:marBottom w:val="0"/>
          <w:divBdr>
            <w:top w:val="none" w:sz="0" w:space="0" w:color="auto"/>
            <w:left w:val="none" w:sz="0" w:space="0" w:color="auto"/>
            <w:bottom w:val="none" w:sz="0" w:space="0" w:color="auto"/>
            <w:right w:val="none" w:sz="0" w:space="0" w:color="auto"/>
          </w:divBdr>
        </w:div>
        <w:div w:id="585771431">
          <w:marLeft w:val="0"/>
          <w:marRight w:val="0"/>
          <w:marTop w:val="0"/>
          <w:marBottom w:val="0"/>
          <w:divBdr>
            <w:top w:val="none" w:sz="0" w:space="0" w:color="auto"/>
            <w:left w:val="none" w:sz="0" w:space="0" w:color="auto"/>
            <w:bottom w:val="none" w:sz="0" w:space="0" w:color="auto"/>
            <w:right w:val="none" w:sz="0" w:space="0" w:color="auto"/>
          </w:divBdr>
        </w:div>
        <w:div w:id="653527610">
          <w:marLeft w:val="0"/>
          <w:marRight w:val="0"/>
          <w:marTop w:val="0"/>
          <w:marBottom w:val="0"/>
          <w:divBdr>
            <w:top w:val="none" w:sz="0" w:space="0" w:color="auto"/>
            <w:left w:val="none" w:sz="0" w:space="0" w:color="auto"/>
            <w:bottom w:val="none" w:sz="0" w:space="0" w:color="auto"/>
            <w:right w:val="none" w:sz="0" w:space="0" w:color="auto"/>
          </w:divBdr>
        </w:div>
        <w:div w:id="663897319">
          <w:marLeft w:val="0"/>
          <w:marRight w:val="0"/>
          <w:marTop w:val="0"/>
          <w:marBottom w:val="0"/>
          <w:divBdr>
            <w:top w:val="none" w:sz="0" w:space="0" w:color="auto"/>
            <w:left w:val="none" w:sz="0" w:space="0" w:color="auto"/>
            <w:bottom w:val="none" w:sz="0" w:space="0" w:color="auto"/>
            <w:right w:val="none" w:sz="0" w:space="0" w:color="auto"/>
          </w:divBdr>
        </w:div>
        <w:div w:id="669676628">
          <w:marLeft w:val="0"/>
          <w:marRight w:val="0"/>
          <w:marTop w:val="0"/>
          <w:marBottom w:val="0"/>
          <w:divBdr>
            <w:top w:val="none" w:sz="0" w:space="0" w:color="auto"/>
            <w:left w:val="none" w:sz="0" w:space="0" w:color="auto"/>
            <w:bottom w:val="none" w:sz="0" w:space="0" w:color="auto"/>
            <w:right w:val="none" w:sz="0" w:space="0" w:color="auto"/>
          </w:divBdr>
        </w:div>
        <w:div w:id="677654493">
          <w:marLeft w:val="0"/>
          <w:marRight w:val="0"/>
          <w:marTop w:val="0"/>
          <w:marBottom w:val="0"/>
          <w:divBdr>
            <w:top w:val="none" w:sz="0" w:space="0" w:color="auto"/>
            <w:left w:val="none" w:sz="0" w:space="0" w:color="auto"/>
            <w:bottom w:val="none" w:sz="0" w:space="0" w:color="auto"/>
            <w:right w:val="none" w:sz="0" w:space="0" w:color="auto"/>
          </w:divBdr>
        </w:div>
        <w:div w:id="685181834">
          <w:marLeft w:val="0"/>
          <w:marRight w:val="0"/>
          <w:marTop w:val="0"/>
          <w:marBottom w:val="0"/>
          <w:divBdr>
            <w:top w:val="none" w:sz="0" w:space="0" w:color="auto"/>
            <w:left w:val="none" w:sz="0" w:space="0" w:color="auto"/>
            <w:bottom w:val="none" w:sz="0" w:space="0" w:color="auto"/>
            <w:right w:val="none" w:sz="0" w:space="0" w:color="auto"/>
          </w:divBdr>
          <w:divsChild>
            <w:div w:id="170068994">
              <w:marLeft w:val="0"/>
              <w:marRight w:val="0"/>
              <w:marTop w:val="0"/>
              <w:marBottom w:val="0"/>
              <w:divBdr>
                <w:top w:val="none" w:sz="0" w:space="0" w:color="auto"/>
                <w:left w:val="none" w:sz="0" w:space="0" w:color="auto"/>
                <w:bottom w:val="none" w:sz="0" w:space="0" w:color="auto"/>
                <w:right w:val="none" w:sz="0" w:space="0" w:color="auto"/>
              </w:divBdr>
            </w:div>
            <w:div w:id="921987592">
              <w:marLeft w:val="0"/>
              <w:marRight w:val="0"/>
              <w:marTop w:val="0"/>
              <w:marBottom w:val="0"/>
              <w:divBdr>
                <w:top w:val="none" w:sz="0" w:space="0" w:color="auto"/>
                <w:left w:val="none" w:sz="0" w:space="0" w:color="auto"/>
                <w:bottom w:val="none" w:sz="0" w:space="0" w:color="auto"/>
                <w:right w:val="none" w:sz="0" w:space="0" w:color="auto"/>
              </w:divBdr>
            </w:div>
            <w:div w:id="1313101718">
              <w:marLeft w:val="0"/>
              <w:marRight w:val="0"/>
              <w:marTop w:val="0"/>
              <w:marBottom w:val="0"/>
              <w:divBdr>
                <w:top w:val="none" w:sz="0" w:space="0" w:color="auto"/>
                <w:left w:val="none" w:sz="0" w:space="0" w:color="auto"/>
                <w:bottom w:val="none" w:sz="0" w:space="0" w:color="auto"/>
                <w:right w:val="none" w:sz="0" w:space="0" w:color="auto"/>
              </w:divBdr>
            </w:div>
            <w:div w:id="1744570168">
              <w:marLeft w:val="0"/>
              <w:marRight w:val="0"/>
              <w:marTop w:val="0"/>
              <w:marBottom w:val="0"/>
              <w:divBdr>
                <w:top w:val="none" w:sz="0" w:space="0" w:color="auto"/>
                <w:left w:val="none" w:sz="0" w:space="0" w:color="auto"/>
                <w:bottom w:val="none" w:sz="0" w:space="0" w:color="auto"/>
                <w:right w:val="none" w:sz="0" w:space="0" w:color="auto"/>
              </w:divBdr>
            </w:div>
          </w:divsChild>
        </w:div>
        <w:div w:id="724643209">
          <w:marLeft w:val="0"/>
          <w:marRight w:val="0"/>
          <w:marTop w:val="0"/>
          <w:marBottom w:val="0"/>
          <w:divBdr>
            <w:top w:val="none" w:sz="0" w:space="0" w:color="auto"/>
            <w:left w:val="none" w:sz="0" w:space="0" w:color="auto"/>
            <w:bottom w:val="none" w:sz="0" w:space="0" w:color="auto"/>
            <w:right w:val="none" w:sz="0" w:space="0" w:color="auto"/>
          </w:divBdr>
        </w:div>
        <w:div w:id="787546932">
          <w:marLeft w:val="0"/>
          <w:marRight w:val="0"/>
          <w:marTop w:val="0"/>
          <w:marBottom w:val="0"/>
          <w:divBdr>
            <w:top w:val="none" w:sz="0" w:space="0" w:color="auto"/>
            <w:left w:val="none" w:sz="0" w:space="0" w:color="auto"/>
            <w:bottom w:val="none" w:sz="0" w:space="0" w:color="auto"/>
            <w:right w:val="none" w:sz="0" w:space="0" w:color="auto"/>
          </w:divBdr>
        </w:div>
        <w:div w:id="840504393">
          <w:marLeft w:val="0"/>
          <w:marRight w:val="0"/>
          <w:marTop w:val="0"/>
          <w:marBottom w:val="0"/>
          <w:divBdr>
            <w:top w:val="none" w:sz="0" w:space="0" w:color="auto"/>
            <w:left w:val="none" w:sz="0" w:space="0" w:color="auto"/>
            <w:bottom w:val="none" w:sz="0" w:space="0" w:color="auto"/>
            <w:right w:val="none" w:sz="0" w:space="0" w:color="auto"/>
          </w:divBdr>
        </w:div>
        <w:div w:id="856776848">
          <w:marLeft w:val="0"/>
          <w:marRight w:val="0"/>
          <w:marTop w:val="0"/>
          <w:marBottom w:val="0"/>
          <w:divBdr>
            <w:top w:val="none" w:sz="0" w:space="0" w:color="auto"/>
            <w:left w:val="none" w:sz="0" w:space="0" w:color="auto"/>
            <w:bottom w:val="none" w:sz="0" w:space="0" w:color="auto"/>
            <w:right w:val="none" w:sz="0" w:space="0" w:color="auto"/>
          </w:divBdr>
        </w:div>
        <w:div w:id="907106268">
          <w:marLeft w:val="0"/>
          <w:marRight w:val="0"/>
          <w:marTop w:val="0"/>
          <w:marBottom w:val="0"/>
          <w:divBdr>
            <w:top w:val="none" w:sz="0" w:space="0" w:color="auto"/>
            <w:left w:val="none" w:sz="0" w:space="0" w:color="auto"/>
            <w:bottom w:val="none" w:sz="0" w:space="0" w:color="auto"/>
            <w:right w:val="none" w:sz="0" w:space="0" w:color="auto"/>
          </w:divBdr>
        </w:div>
        <w:div w:id="915437674">
          <w:marLeft w:val="0"/>
          <w:marRight w:val="0"/>
          <w:marTop w:val="0"/>
          <w:marBottom w:val="0"/>
          <w:divBdr>
            <w:top w:val="none" w:sz="0" w:space="0" w:color="auto"/>
            <w:left w:val="none" w:sz="0" w:space="0" w:color="auto"/>
            <w:bottom w:val="none" w:sz="0" w:space="0" w:color="auto"/>
            <w:right w:val="none" w:sz="0" w:space="0" w:color="auto"/>
          </w:divBdr>
        </w:div>
        <w:div w:id="987634993">
          <w:marLeft w:val="0"/>
          <w:marRight w:val="0"/>
          <w:marTop w:val="0"/>
          <w:marBottom w:val="0"/>
          <w:divBdr>
            <w:top w:val="none" w:sz="0" w:space="0" w:color="auto"/>
            <w:left w:val="none" w:sz="0" w:space="0" w:color="auto"/>
            <w:bottom w:val="none" w:sz="0" w:space="0" w:color="auto"/>
            <w:right w:val="none" w:sz="0" w:space="0" w:color="auto"/>
          </w:divBdr>
        </w:div>
        <w:div w:id="988362723">
          <w:marLeft w:val="0"/>
          <w:marRight w:val="0"/>
          <w:marTop w:val="0"/>
          <w:marBottom w:val="0"/>
          <w:divBdr>
            <w:top w:val="none" w:sz="0" w:space="0" w:color="auto"/>
            <w:left w:val="none" w:sz="0" w:space="0" w:color="auto"/>
            <w:bottom w:val="none" w:sz="0" w:space="0" w:color="auto"/>
            <w:right w:val="none" w:sz="0" w:space="0" w:color="auto"/>
          </w:divBdr>
        </w:div>
        <w:div w:id="1110202897">
          <w:marLeft w:val="0"/>
          <w:marRight w:val="0"/>
          <w:marTop w:val="0"/>
          <w:marBottom w:val="0"/>
          <w:divBdr>
            <w:top w:val="none" w:sz="0" w:space="0" w:color="auto"/>
            <w:left w:val="none" w:sz="0" w:space="0" w:color="auto"/>
            <w:bottom w:val="none" w:sz="0" w:space="0" w:color="auto"/>
            <w:right w:val="none" w:sz="0" w:space="0" w:color="auto"/>
          </w:divBdr>
        </w:div>
        <w:div w:id="1132560052">
          <w:marLeft w:val="0"/>
          <w:marRight w:val="0"/>
          <w:marTop w:val="0"/>
          <w:marBottom w:val="0"/>
          <w:divBdr>
            <w:top w:val="none" w:sz="0" w:space="0" w:color="auto"/>
            <w:left w:val="none" w:sz="0" w:space="0" w:color="auto"/>
            <w:bottom w:val="none" w:sz="0" w:space="0" w:color="auto"/>
            <w:right w:val="none" w:sz="0" w:space="0" w:color="auto"/>
          </w:divBdr>
        </w:div>
        <w:div w:id="1137649892">
          <w:marLeft w:val="0"/>
          <w:marRight w:val="0"/>
          <w:marTop w:val="0"/>
          <w:marBottom w:val="0"/>
          <w:divBdr>
            <w:top w:val="none" w:sz="0" w:space="0" w:color="auto"/>
            <w:left w:val="none" w:sz="0" w:space="0" w:color="auto"/>
            <w:bottom w:val="none" w:sz="0" w:space="0" w:color="auto"/>
            <w:right w:val="none" w:sz="0" w:space="0" w:color="auto"/>
          </w:divBdr>
        </w:div>
        <w:div w:id="1239439534">
          <w:marLeft w:val="0"/>
          <w:marRight w:val="0"/>
          <w:marTop w:val="0"/>
          <w:marBottom w:val="0"/>
          <w:divBdr>
            <w:top w:val="none" w:sz="0" w:space="0" w:color="auto"/>
            <w:left w:val="none" w:sz="0" w:space="0" w:color="auto"/>
            <w:bottom w:val="none" w:sz="0" w:space="0" w:color="auto"/>
            <w:right w:val="none" w:sz="0" w:space="0" w:color="auto"/>
          </w:divBdr>
        </w:div>
        <w:div w:id="1383943377">
          <w:marLeft w:val="0"/>
          <w:marRight w:val="0"/>
          <w:marTop w:val="0"/>
          <w:marBottom w:val="0"/>
          <w:divBdr>
            <w:top w:val="none" w:sz="0" w:space="0" w:color="auto"/>
            <w:left w:val="none" w:sz="0" w:space="0" w:color="auto"/>
            <w:bottom w:val="none" w:sz="0" w:space="0" w:color="auto"/>
            <w:right w:val="none" w:sz="0" w:space="0" w:color="auto"/>
          </w:divBdr>
        </w:div>
        <w:div w:id="1429501644">
          <w:marLeft w:val="0"/>
          <w:marRight w:val="0"/>
          <w:marTop w:val="0"/>
          <w:marBottom w:val="0"/>
          <w:divBdr>
            <w:top w:val="none" w:sz="0" w:space="0" w:color="auto"/>
            <w:left w:val="none" w:sz="0" w:space="0" w:color="auto"/>
            <w:bottom w:val="none" w:sz="0" w:space="0" w:color="auto"/>
            <w:right w:val="none" w:sz="0" w:space="0" w:color="auto"/>
          </w:divBdr>
        </w:div>
        <w:div w:id="1436288047">
          <w:marLeft w:val="0"/>
          <w:marRight w:val="0"/>
          <w:marTop w:val="0"/>
          <w:marBottom w:val="0"/>
          <w:divBdr>
            <w:top w:val="none" w:sz="0" w:space="0" w:color="auto"/>
            <w:left w:val="none" w:sz="0" w:space="0" w:color="auto"/>
            <w:bottom w:val="none" w:sz="0" w:space="0" w:color="auto"/>
            <w:right w:val="none" w:sz="0" w:space="0" w:color="auto"/>
          </w:divBdr>
        </w:div>
        <w:div w:id="1461342270">
          <w:marLeft w:val="0"/>
          <w:marRight w:val="0"/>
          <w:marTop w:val="0"/>
          <w:marBottom w:val="0"/>
          <w:divBdr>
            <w:top w:val="none" w:sz="0" w:space="0" w:color="auto"/>
            <w:left w:val="none" w:sz="0" w:space="0" w:color="auto"/>
            <w:bottom w:val="none" w:sz="0" w:space="0" w:color="auto"/>
            <w:right w:val="none" w:sz="0" w:space="0" w:color="auto"/>
          </w:divBdr>
        </w:div>
        <w:div w:id="1531407994">
          <w:marLeft w:val="0"/>
          <w:marRight w:val="0"/>
          <w:marTop w:val="0"/>
          <w:marBottom w:val="0"/>
          <w:divBdr>
            <w:top w:val="none" w:sz="0" w:space="0" w:color="auto"/>
            <w:left w:val="none" w:sz="0" w:space="0" w:color="auto"/>
            <w:bottom w:val="none" w:sz="0" w:space="0" w:color="auto"/>
            <w:right w:val="none" w:sz="0" w:space="0" w:color="auto"/>
          </w:divBdr>
        </w:div>
        <w:div w:id="1537042870">
          <w:marLeft w:val="0"/>
          <w:marRight w:val="0"/>
          <w:marTop w:val="0"/>
          <w:marBottom w:val="0"/>
          <w:divBdr>
            <w:top w:val="none" w:sz="0" w:space="0" w:color="auto"/>
            <w:left w:val="none" w:sz="0" w:space="0" w:color="auto"/>
            <w:bottom w:val="none" w:sz="0" w:space="0" w:color="auto"/>
            <w:right w:val="none" w:sz="0" w:space="0" w:color="auto"/>
          </w:divBdr>
        </w:div>
        <w:div w:id="1550730244">
          <w:marLeft w:val="0"/>
          <w:marRight w:val="0"/>
          <w:marTop w:val="0"/>
          <w:marBottom w:val="0"/>
          <w:divBdr>
            <w:top w:val="none" w:sz="0" w:space="0" w:color="auto"/>
            <w:left w:val="none" w:sz="0" w:space="0" w:color="auto"/>
            <w:bottom w:val="none" w:sz="0" w:space="0" w:color="auto"/>
            <w:right w:val="none" w:sz="0" w:space="0" w:color="auto"/>
          </w:divBdr>
        </w:div>
        <w:div w:id="1574926862">
          <w:marLeft w:val="0"/>
          <w:marRight w:val="0"/>
          <w:marTop w:val="0"/>
          <w:marBottom w:val="0"/>
          <w:divBdr>
            <w:top w:val="none" w:sz="0" w:space="0" w:color="auto"/>
            <w:left w:val="none" w:sz="0" w:space="0" w:color="auto"/>
            <w:bottom w:val="none" w:sz="0" w:space="0" w:color="auto"/>
            <w:right w:val="none" w:sz="0" w:space="0" w:color="auto"/>
          </w:divBdr>
        </w:div>
        <w:div w:id="1594898854">
          <w:marLeft w:val="0"/>
          <w:marRight w:val="0"/>
          <w:marTop w:val="0"/>
          <w:marBottom w:val="0"/>
          <w:divBdr>
            <w:top w:val="none" w:sz="0" w:space="0" w:color="auto"/>
            <w:left w:val="none" w:sz="0" w:space="0" w:color="auto"/>
            <w:bottom w:val="none" w:sz="0" w:space="0" w:color="auto"/>
            <w:right w:val="none" w:sz="0" w:space="0" w:color="auto"/>
          </w:divBdr>
        </w:div>
        <w:div w:id="1604462186">
          <w:marLeft w:val="0"/>
          <w:marRight w:val="0"/>
          <w:marTop w:val="0"/>
          <w:marBottom w:val="0"/>
          <w:divBdr>
            <w:top w:val="none" w:sz="0" w:space="0" w:color="auto"/>
            <w:left w:val="none" w:sz="0" w:space="0" w:color="auto"/>
            <w:bottom w:val="none" w:sz="0" w:space="0" w:color="auto"/>
            <w:right w:val="none" w:sz="0" w:space="0" w:color="auto"/>
          </w:divBdr>
        </w:div>
        <w:div w:id="1617440688">
          <w:marLeft w:val="0"/>
          <w:marRight w:val="0"/>
          <w:marTop w:val="0"/>
          <w:marBottom w:val="0"/>
          <w:divBdr>
            <w:top w:val="none" w:sz="0" w:space="0" w:color="auto"/>
            <w:left w:val="none" w:sz="0" w:space="0" w:color="auto"/>
            <w:bottom w:val="none" w:sz="0" w:space="0" w:color="auto"/>
            <w:right w:val="none" w:sz="0" w:space="0" w:color="auto"/>
          </w:divBdr>
        </w:div>
        <w:div w:id="1675063776">
          <w:marLeft w:val="0"/>
          <w:marRight w:val="0"/>
          <w:marTop w:val="0"/>
          <w:marBottom w:val="0"/>
          <w:divBdr>
            <w:top w:val="none" w:sz="0" w:space="0" w:color="auto"/>
            <w:left w:val="none" w:sz="0" w:space="0" w:color="auto"/>
            <w:bottom w:val="none" w:sz="0" w:space="0" w:color="auto"/>
            <w:right w:val="none" w:sz="0" w:space="0" w:color="auto"/>
          </w:divBdr>
        </w:div>
        <w:div w:id="1732927059">
          <w:marLeft w:val="0"/>
          <w:marRight w:val="0"/>
          <w:marTop w:val="0"/>
          <w:marBottom w:val="0"/>
          <w:divBdr>
            <w:top w:val="none" w:sz="0" w:space="0" w:color="auto"/>
            <w:left w:val="none" w:sz="0" w:space="0" w:color="auto"/>
            <w:bottom w:val="none" w:sz="0" w:space="0" w:color="auto"/>
            <w:right w:val="none" w:sz="0" w:space="0" w:color="auto"/>
          </w:divBdr>
        </w:div>
        <w:div w:id="1817406482">
          <w:marLeft w:val="0"/>
          <w:marRight w:val="0"/>
          <w:marTop w:val="0"/>
          <w:marBottom w:val="0"/>
          <w:divBdr>
            <w:top w:val="none" w:sz="0" w:space="0" w:color="auto"/>
            <w:left w:val="none" w:sz="0" w:space="0" w:color="auto"/>
            <w:bottom w:val="none" w:sz="0" w:space="0" w:color="auto"/>
            <w:right w:val="none" w:sz="0" w:space="0" w:color="auto"/>
          </w:divBdr>
        </w:div>
        <w:div w:id="1839536224">
          <w:marLeft w:val="0"/>
          <w:marRight w:val="0"/>
          <w:marTop w:val="0"/>
          <w:marBottom w:val="0"/>
          <w:divBdr>
            <w:top w:val="none" w:sz="0" w:space="0" w:color="auto"/>
            <w:left w:val="none" w:sz="0" w:space="0" w:color="auto"/>
            <w:bottom w:val="none" w:sz="0" w:space="0" w:color="auto"/>
            <w:right w:val="none" w:sz="0" w:space="0" w:color="auto"/>
          </w:divBdr>
        </w:div>
        <w:div w:id="1948343148">
          <w:marLeft w:val="0"/>
          <w:marRight w:val="0"/>
          <w:marTop w:val="0"/>
          <w:marBottom w:val="0"/>
          <w:divBdr>
            <w:top w:val="none" w:sz="0" w:space="0" w:color="auto"/>
            <w:left w:val="none" w:sz="0" w:space="0" w:color="auto"/>
            <w:bottom w:val="none" w:sz="0" w:space="0" w:color="auto"/>
            <w:right w:val="none" w:sz="0" w:space="0" w:color="auto"/>
          </w:divBdr>
        </w:div>
        <w:div w:id="1986817751">
          <w:marLeft w:val="0"/>
          <w:marRight w:val="0"/>
          <w:marTop w:val="0"/>
          <w:marBottom w:val="0"/>
          <w:divBdr>
            <w:top w:val="none" w:sz="0" w:space="0" w:color="auto"/>
            <w:left w:val="none" w:sz="0" w:space="0" w:color="auto"/>
            <w:bottom w:val="none" w:sz="0" w:space="0" w:color="auto"/>
            <w:right w:val="none" w:sz="0" w:space="0" w:color="auto"/>
          </w:divBdr>
        </w:div>
        <w:div w:id="2069837780">
          <w:marLeft w:val="0"/>
          <w:marRight w:val="0"/>
          <w:marTop w:val="0"/>
          <w:marBottom w:val="0"/>
          <w:divBdr>
            <w:top w:val="none" w:sz="0" w:space="0" w:color="auto"/>
            <w:left w:val="none" w:sz="0" w:space="0" w:color="auto"/>
            <w:bottom w:val="none" w:sz="0" w:space="0" w:color="auto"/>
            <w:right w:val="none" w:sz="0" w:space="0" w:color="auto"/>
          </w:divBdr>
        </w:div>
        <w:div w:id="2073118360">
          <w:marLeft w:val="0"/>
          <w:marRight w:val="0"/>
          <w:marTop w:val="0"/>
          <w:marBottom w:val="0"/>
          <w:divBdr>
            <w:top w:val="none" w:sz="0" w:space="0" w:color="auto"/>
            <w:left w:val="none" w:sz="0" w:space="0" w:color="auto"/>
            <w:bottom w:val="none" w:sz="0" w:space="0" w:color="auto"/>
            <w:right w:val="none" w:sz="0" w:space="0" w:color="auto"/>
          </w:divBdr>
        </w:div>
        <w:div w:id="2102337635">
          <w:marLeft w:val="0"/>
          <w:marRight w:val="0"/>
          <w:marTop w:val="0"/>
          <w:marBottom w:val="0"/>
          <w:divBdr>
            <w:top w:val="none" w:sz="0" w:space="0" w:color="auto"/>
            <w:left w:val="none" w:sz="0" w:space="0" w:color="auto"/>
            <w:bottom w:val="none" w:sz="0" w:space="0" w:color="auto"/>
            <w:right w:val="none" w:sz="0" w:space="0" w:color="auto"/>
          </w:divBdr>
        </w:div>
        <w:div w:id="2115861824">
          <w:marLeft w:val="0"/>
          <w:marRight w:val="0"/>
          <w:marTop w:val="0"/>
          <w:marBottom w:val="0"/>
          <w:divBdr>
            <w:top w:val="none" w:sz="0" w:space="0" w:color="auto"/>
            <w:left w:val="none" w:sz="0" w:space="0" w:color="auto"/>
            <w:bottom w:val="none" w:sz="0" w:space="0" w:color="auto"/>
            <w:right w:val="none" w:sz="0" w:space="0" w:color="auto"/>
          </w:divBdr>
          <w:divsChild>
            <w:div w:id="526451400">
              <w:marLeft w:val="0"/>
              <w:marRight w:val="0"/>
              <w:marTop w:val="0"/>
              <w:marBottom w:val="0"/>
              <w:divBdr>
                <w:top w:val="none" w:sz="0" w:space="0" w:color="auto"/>
                <w:left w:val="none" w:sz="0" w:space="0" w:color="auto"/>
                <w:bottom w:val="none" w:sz="0" w:space="0" w:color="auto"/>
                <w:right w:val="none" w:sz="0" w:space="0" w:color="auto"/>
              </w:divBdr>
            </w:div>
            <w:div w:id="654451683">
              <w:marLeft w:val="0"/>
              <w:marRight w:val="0"/>
              <w:marTop w:val="0"/>
              <w:marBottom w:val="0"/>
              <w:divBdr>
                <w:top w:val="none" w:sz="0" w:space="0" w:color="auto"/>
                <w:left w:val="none" w:sz="0" w:space="0" w:color="auto"/>
                <w:bottom w:val="none" w:sz="0" w:space="0" w:color="auto"/>
                <w:right w:val="none" w:sz="0" w:space="0" w:color="auto"/>
              </w:divBdr>
            </w:div>
            <w:div w:id="749809013">
              <w:marLeft w:val="0"/>
              <w:marRight w:val="0"/>
              <w:marTop w:val="0"/>
              <w:marBottom w:val="0"/>
              <w:divBdr>
                <w:top w:val="none" w:sz="0" w:space="0" w:color="auto"/>
                <w:left w:val="none" w:sz="0" w:space="0" w:color="auto"/>
                <w:bottom w:val="none" w:sz="0" w:space="0" w:color="auto"/>
                <w:right w:val="none" w:sz="0" w:space="0" w:color="auto"/>
              </w:divBdr>
            </w:div>
            <w:div w:id="930548300">
              <w:marLeft w:val="0"/>
              <w:marRight w:val="0"/>
              <w:marTop w:val="0"/>
              <w:marBottom w:val="0"/>
              <w:divBdr>
                <w:top w:val="none" w:sz="0" w:space="0" w:color="auto"/>
                <w:left w:val="none" w:sz="0" w:space="0" w:color="auto"/>
                <w:bottom w:val="none" w:sz="0" w:space="0" w:color="auto"/>
                <w:right w:val="none" w:sz="0" w:space="0" w:color="auto"/>
              </w:divBdr>
            </w:div>
            <w:div w:id="1636911077">
              <w:marLeft w:val="0"/>
              <w:marRight w:val="0"/>
              <w:marTop w:val="0"/>
              <w:marBottom w:val="0"/>
              <w:divBdr>
                <w:top w:val="none" w:sz="0" w:space="0" w:color="auto"/>
                <w:left w:val="none" w:sz="0" w:space="0" w:color="auto"/>
                <w:bottom w:val="none" w:sz="0" w:space="0" w:color="auto"/>
                <w:right w:val="none" w:sz="0" w:space="0" w:color="auto"/>
              </w:divBdr>
            </w:div>
          </w:divsChild>
        </w:div>
        <w:div w:id="2137479246">
          <w:marLeft w:val="0"/>
          <w:marRight w:val="0"/>
          <w:marTop w:val="0"/>
          <w:marBottom w:val="0"/>
          <w:divBdr>
            <w:top w:val="none" w:sz="0" w:space="0" w:color="auto"/>
            <w:left w:val="none" w:sz="0" w:space="0" w:color="auto"/>
            <w:bottom w:val="none" w:sz="0" w:space="0" w:color="auto"/>
            <w:right w:val="none" w:sz="0" w:space="0" w:color="auto"/>
          </w:divBdr>
        </w:div>
      </w:divsChild>
    </w:div>
    <w:div w:id="50230594">
      <w:bodyDiv w:val="1"/>
      <w:marLeft w:val="0"/>
      <w:marRight w:val="0"/>
      <w:marTop w:val="0"/>
      <w:marBottom w:val="0"/>
      <w:divBdr>
        <w:top w:val="none" w:sz="0" w:space="0" w:color="auto"/>
        <w:left w:val="none" w:sz="0" w:space="0" w:color="auto"/>
        <w:bottom w:val="none" w:sz="0" w:space="0" w:color="auto"/>
        <w:right w:val="none" w:sz="0" w:space="0" w:color="auto"/>
      </w:divBdr>
    </w:div>
    <w:div w:id="80445411">
      <w:bodyDiv w:val="1"/>
      <w:marLeft w:val="0"/>
      <w:marRight w:val="0"/>
      <w:marTop w:val="0"/>
      <w:marBottom w:val="0"/>
      <w:divBdr>
        <w:top w:val="none" w:sz="0" w:space="0" w:color="auto"/>
        <w:left w:val="none" w:sz="0" w:space="0" w:color="auto"/>
        <w:bottom w:val="none" w:sz="0" w:space="0" w:color="auto"/>
        <w:right w:val="none" w:sz="0" w:space="0" w:color="auto"/>
      </w:divBdr>
    </w:div>
    <w:div w:id="82998946">
      <w:bodyDiv w:val="1"/>
      <w:marLeft w:val="0"/>
      <w:marRight w:val="0"/>
      <w:marTop w:val="0"/>
      <w:marBottom w:val="0"/>
      <w:divBdr>
        <w:top w:val="none" w:sz="0" w:space="0" w:color="auto"/>
        <w:left w:val="none" w:sz="0" w:space="0" w:color="auto"/>
        <w:bottom w:val="none" w:sz="0" w:space="0" w:color="auto"/>
        <w:right w:val="none" w:sz="0" w:space="0" w:color="auto"/>
      </w:divBdr>
    </w:div>
    <w:div w:id="105320912">
      <w:bodyDiv w:val="1"/>
      <w:marLeft w:val="0"/>
      <w:marRight w:val="0"/>
      <w:marTop w:val="0"/>
      <w:marBottom w:val="0"/>
      <w:divBdr>
        <w:top w:val="none" w:sz="0" w:space="0" w:color="auto"/>
        <w:left w:val="none" w:sz="0" w:space="0" w:color="auto"/>
        <w:bottom w:val="none" w:sz="0" w:space="0" w:color="auto"/>
        <w:right w:val="none" w:sz="0" w:space="0" w:color="auto"/>
      </w:divBdr>
      <w:divsChild>
        <w:div w:id="767233267">
          <w:marLeft w:val="0"/>
          <w:marRight w:val="0"/>
          <w:marTop w:val="0"/>
          <w:marBottom w:val="0"/>
          <w:divBdr>
            <w:top w:val="none" w:sz="0" w:space="0" w:color="auto"/>
            <w:left w:val="none" w:sz="0" w:space="0" w:color="auto"/>
            <w:bottom w:val="none" w:sz="0" w:space="0" w:color="auto"/>
            <w:right w:val="none" w:sz="0" w:space="0" w:color="auto"/>
          </w:divBdr>
        </w:div>
        <w:div w:id="1132483557">
          <w:marLeft w:val="0"/>
          <w:marRight w:val="0"/>
          <w:marTop w:val="0"/>
          <w:marBottom w:val="0"/>
          <w:divBdr>
            <w:top w:val="none" w:sz="0" w:space="0" w:color="auto"/>
            <w:left w:val="none" w:sz="0" w:space="0" w:color="auto"/>
            <w:bottom w:val="none" w:sz="0" w:space="0" w:color="auto"/>
            <w:right w:val="none" w:sz="0" w:space="0" w:color="auto"/>
          </w:divBdr>
          <w:divsChild>
            <w:div w:id="803935816">
              <w:marLeft w:val="0"/>
              <w:marRight w:val="0"/>
              <w:marTop w:val="0"/>
              <w:marBottom w:val="0"/>
              <w:divBdr>
                <w:top w:val="none" w:sz="0" w:space="0" w:color="auto"/>
                <w:left w:val="none" w:sz="0" w:space="0" w:color="auto"/>
                <w:bottom w:val="none" w:sz="0" w:space="0" w:color="auto"/>
                <w:right w:val="none" w:sz="0" w:space="0" w:color="auto"/>
              </w:divBdr>
            </w:div>
            <w:div w:id="1414929752">
              <w:marLeft w:val="0"/>
              <w:marRight w:val="0"/>
              <w:marTop w:val="0"/>
              <w:marBottom w:val="0"/>
              <w:divBdr>
                <w:top w:val="none" w:sz="0" w:space="0" w:color="auto"/>
                <w:left w:val="none" w:sz="0" w:space="0" w:color="auto"/>
                <w:bottom w:val="none" w:sz="0" w:space="0" w:color="auto"/>
                <w:right w:val="none" w:sz="0" w:space="0" w:color="auto"/>
              </w:divBdr>
            </w:div>
            <w:div w:id="168161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2953">
      <w:bodyDiv w:val="1"/>
      <w:marLeft w:val="0"/>
      <w:marRight w:val="0"/>
      <w:marTop w:val="0"/>
      <w:marBottom w:val="0"/>
      <w:divBdr>
        <w:top w:val="none" w:sz="0" w:space="0" w:color="auto"/>
        <w:left w:val="none" w:sz="0" w:space="0" w:color="auto"/>
        <w:bottom w:val="none" w:sz="0" w:space="0" w:color="auto"/>
        <w:right w:val="none" w:sz="0" w:space="0" w:color="auto"/>
      </w:divBdr>
    </w:div>
    <w:div w:id="275868246">
      <w:bodyDiv w:val="1"/>
      <w:marLeft w:val="0"/>
      <w:marRight w:val="0"/>
      <w:marTop w:val="0"/>
      <w:marBottom w:val="0"/>
      <w:divBdr>
        <w:top w:val="none" w:sz="0" w:space="0" w:color="auto"/>
        <w:left w:val="none" w:sz="0" w:space="0" w:color="auto"/>
        <w:bottom w:val="none" w:sz="0" w:space="0" w:color="auto"/>
        <w:right w:val="none" w:sz="0" w:space="0" w:color="auto"/>
      </w:divBdr>
      <w:divsChild>
        <w:div w:id="10768889">
          <w:marLeft w:val="0"/>
          <w:marRight w:val="0"/>
          <w:marTop w:val="0"/>
          <w:marBottom w:val="0"/>
          <w:divBdr>
            <w:top w:val="none" w:sz="0" w:space="0" w:color="auto"/>
            <w:left w:val="none" w:sz="0" w:space="0" w:color="auto"/>
            <w:bottom w:val="none" w:sz="0" w:space="0" w:color="auto"/>
            <w:right w:val="none" w:sz="0" w:space="0" w:color="auto"/>
          </w:divBdr>
        </w:div>
        <w:div w:id="23213760">
          <w:marLeft w:val="0"/>
          <w:marRight w:val="0"/>
          <w:marTop w:val="0"/>
          <w:marBottom w:val="0"/>
          <w:divBdr>
            <w:top w:val="none" w:sz="0" w:space="0" w:color="auto"/>
            <w:left w:val="none" w:sz="0" w:space="0" w:color="auto"/>
            <w:bottom w:val="none" w:sz="0" w:space="0" w:color="auto"/>
            <w:right w:val="none" w:sz="0" w:space="0" w:color="auto"/>
          </w:divBdr>
        </w:div>
        <w:div w:id="50081233">
          <w:marLeft w:val="0"/>
          <w:marRight w:val="0"/>
          <w:marTop w:val="0"/>
          <w:marBottom w:val="0"/>
          <w:divBdr>
            <w:top w:val="none" w:sz="0" w:space="0" w:color="auto"/>
            <w:left w:val="none" w:sz="0" w:space="0" w:color="auto"/>
            <w:bottom w:val="none" w:sz="0" w:space="0" w:color="auto"/>
            <w:right w:val="none" w:sz="0" w:space="0" w:color="auto"/>
          </w:divBdr>
        </w:div>
        <w:div w:id="81948783">
          <w:marLeft w:val="0"/>
          <w:marRight w:val="0"/>
          <w:marTop w:val="0"/>
          <w:marBottom w:val="0"/>
          <w:divBdr>
            <w:top w:val="none" w:sz="0" w:space="0" w:color="auto"/>
            <w:left w:val="none" w:sz="0" w:space="0" w:color="auto"/>
            <w:bottom w:val="none" w:sz="0" w:space="0" w:color="auto"/>
            <w:right w:val="none" w:sz="0" w:space="0" w:color="auto"/>
          </w:divBdr>
        </w:div>
        <w:div w:id="124661379">
          <w:marLeft w:val="0"/>
          <w:marRight w:val="0"/>
          <w:marTop w:val="0"/>
          <w:marBottom w:val="0"/>
          <w:divBdr>
            <w:top w:val="none" w:sz="0" w:space="0" w:color="auto"/>
            <w:left w:val="none" w:sz="0" w:space="0" w:color="auto"/>
            <w:bottom w:val="none" w:sz="0" w:space="0" w:color="auto"/>
            <w:right w:val="none" w:sz="0" w:space="0" w:color="auto"/>
          </w:divBdr>
        </w:div>
        <w:div w:id="189492445">
          <w:marLeft w:val="0"/>
          <w:marRight w:val="0"/>
          <w:marTop w:val="0"/>
          <w:marBottom w:val="0"/>
          <w:divBdr>
            <w:top w:val="none" w:sz="0" w:space="0" w:color="auto"/>
            <w:left w:val="none" w:sz="0" w:space="0" w:color="auto"/>
            <w:bottom w:val="none" w:sz="0" w:space="0" w:color="auto"/>
            <w:right w:val="none" w:sz="0" w:space="0" w:color="auto"/>
          </w:divBdr>
        </w:div>
        <w:div w:id="265769140">
          <w:marLeft w:val="0"/>
          <w:marRight w:val="0"/>
          <w:marTop w:val="0"/>
          <w:marBottom w:val="0"/>
          <w:divBdr>
            <w:top w:val="none" w:sz="0" w:space="0" w:color="auto"/>
            <w:left w:val="none" w:sz="0" w:space="0" w:color="auto"/>
            <w:bottom w:val="none" w:sz="0" w:space="0" w:color="auto"/>
            <w:right w:val="none" w:sz="0" w:space="0" w:color="auto"/>
          </w:divBdr>
        </w:div>
        <w:div w:id="266159056">
          <w:marLeft w:val="0"/>
          <w:marRight w:val="0"/>
          <w:marTop w:val="0"/>
          <w:marBottom w:val="0"/>
          <w:divBdr>
            <w:top w:val="none" w:sz="0" w:space="0" w:color="auto"/>
            <w:left w:val="none" w:sz="0" w:space="0" w:color="auto"/>
            <w:bottom w:val="none" w:sz="0" w:space="0" w:color="auto"/>
            <w:right w:val="none" w:sz="0" w:space="0" w:color="auto"/>
          </w:divBdr>
        </w:div>
        <w:div w:id="325010742">
          <w:marLeft w:val="0"/>
          <w:marRight w:val="0"/>
          <w:marTop w:val="0"/>
          <w:marBottom w:val="0"/>
          <w:divBdr>
            <w:top w:val="none" w:sz="0" w:space="0" w:color="auto"/>
            <w:left w:val="none" w:sz="0" w:space="0" w:color="auto"/>
            <w:bottom w:val="none" w:sz="0" w:space="0" w:color="auto"/>
            <w:right w:val="none" w:sz="0" w:space="0" w:color="auto"/>
          </w:divBdr>
        </w:div>
        <w:div w:id="586766786">
          <w:marLeft w:val="0"/>
          <w:marRight w:val="0"/>
          <w:marTop w:val="0"/>
          <w:marBottom w:val="0"/>
          <w:divBdr>
            <w:top w:val="none" w:sz="0" w:space="0" w:color="auto"/>
            <w:left w:val="none" w:sz="0" w:space="0" w:color="auto"/>
            <w:bottom w:val="none" w:sz="0" w:space="0" w:color="auto"/>
            <w:right w:val="none" w:sz="0" w:space="0" w:color="auto"/>
          </w:divBdr>
        </w:div>
        <w:div w:id="644119948">
          <w:marLeft w:val="0"/>
          <w:marRight w:val="0"/>
          <w:marTop w:val="0"/>
          <w:marBottom w:val="0"/>
          <w:divBdr>
            <w:top w:val="none" w:sz="0" w:space="0" w:color="auto"/>
            <w:left w:val="none" w:sz="0" w:space="0" w:color="auto"/>
            <w:bottom w:val="none" w:sz="0" w:space="0" w:color="auto"/>
            <w:right w:val="none" w:sz="0" w:space="0" w:color="auto"/>
          </w:divBdr>
        </w:div>
        <w:div w:id="654652408">
          <w:marLeft w:val="0"/>
          <w:marRight w:val="0"/>
          <w:marTop w:val="0"/>
          <w:marBottom w:val="0"/>
          <w:divBdr>
            <w:top w:val="none" w:sz="0" w:space="0" w:color="auto"/>
            <w:left w:val="none" w:sz="0" w:space="0" w:color="auto"/>
            <w:bottom w:val="none" w:sz="0" w:space="0" w:color="auto"/>
            <w:right w:val="none" w:sz="0" w:space="0" w:color="auto"/>
          </w:divBdr>
        </w:div>
        <w:div w:id="835264824">
          <w:marLeft w:val="0"/>
          <w:marRight w:val="0"/>
          <w:marTop w:val="0"/>
          <w:marBottom w:val="0"/>
          <w:divBdr>
            <w:top w:val="none" w:sz="0" w:space="0" w:color="auto"/>
            <w:left w:val="none" w:sz="0" w:space="0" w:color="auto"/>
            <w:bottom w:val="none" w:sz="0" w:space="0" w:color="auto"/>
            <w:right w:val="none" w:sz="0" w:space="0" w:color="auto"/>
          </w:divBdr>
        </w:div>
        <w:div w:id="902257294">
          <w:marLeft w:val="0"/>
          <w:marRight w:val="0"/>
          <w:marTop w:val="0"/>
          <w:marBottom w:val="0"/>
          <w:divBdr>
            <w:top w:val="none" w:sz="0" w:space="0" w:color="auto"/>
            <w:left w:val="none" w:sz="0" w:space="0" w:color="auto"/>
            <w:bottom w:val="none" w:sz="0" w:space="0" w:color="auto"/>
            <w:right w:val="none" w:sz="0" w:space="0" w:color="auto"/>
          </w:divBdr>
        </w:div>
        <w:div w:id="941693275">
          <w:marLeft w:val="0"/>
          <w:marRight w:val="0"/>
          <w:marTop w:val="0"/>
          <w:marBottom w:val="0"/>
          <w:divBdr>
            <w:top w:val="none" w:sz="0" w:space="0" w:color="auto"/>
            <w:left w:val="none" w:sz="0" w:space="0" w:color="auto"/>
            <w:bottom w:val="none" w:sz="0" w:space="0" w:color="auto"/>
            <w:right w:val="none" w:sz="0" w:space="0" w:color="auto"/>
          </w:divBdr>
        </w:div>
        <w:div w:id="1015880311">
          <w:marLeft w:val="0"/>
          <w:marRight w:val="0"/>
          <w:marTop w:val="0"/>
          <w:marBottom w:val="0"/>
          <w:divBdr>
            <w:top w:val="none" w:sz="0" w:space="0" w:color="auto"/>
            <w:left w:val="none" w:sz="0" w:space="0" w:color="auto"/>
            <w:bottom w:val="none" w:sz="0" w:space="0" w:color="auto"/>
            <w:right w:val="none" w:sz="0" w:space="0" w:color="auto"/>
          </w:divBdr>
        </w:div>
        <w:div w:id="1135639920">
          <w:marLeft w:val="0"/>
          <w:marRight w:val="0"/>
          <w:marTop w:val="0"/>
          <w:marBottom w:val="0"/>
          <w:divBdr>
            <w:top w:val="none" w:sz="0" w:space="0" w:color="auto"/>
            <w:left w:val="none" w:sz="0" w:space="0" w:color="auto"/>
            <w:bottom w:val="none" w:sz="0" w:space="0" w:color="auto"/>
            <w:right w:val="none" w:sz="0" w:space="0" w:color="auto"/>
          </w:divBdr>
        </w:div>
        <w:div w:id="1182016938">
          <w:marLeft w:val="0"/>
          <w:marRight w:val="0"/>
          <w:marTop w:val="0"/>
          <w:marBottom w:val="0"/>
          <w:divBdr>
            <w:top w:val="none" w:sz="0" w:space="0" w:color="auto"/>
            <w:left w:val="none" w:sz="0" w:space="0" w:color="auto"/>
            <w:bottom w:val="none" w:sz="0" w:space="0" w:color="auto"/>
            <w:right w:val="none" w:sz="0" w:space="0" w:color="auto"/>
          </w:divBdr>
        </w:div>
        <w:div w:id="1300572318">
          <w:marLeft w:val="0"/>
          <w:marRight w:val="0"/>
          <w:marTop w:val="0"/>
          <w:marBottom w:val="0"/>
          <w:divBdr>
            <w:top w:val="none" w:sz="0" w:space="0" w:color="auto"/>
            <w:left w:val="none" w:sz="0" w:space="0" w:color="auto"/>
            <w:bottom w:val="none" w:sz="0" w:space="0" w:color="auto"/>
            <w:right w:val="none" w:sz="0" w:space="0" w:color="auto"/>
          </w:divBdr>
        </w:div>
        <w:div w:id="1490244375">
          <w:marLeft w:val="0"/>
          <w:marRight w:val="0"/>
          <w:marTop w:val="0"/>
          <w:marBottom w:val="0"/>
          <w:divBdr>
            <w:top w:val="none" w:sz="0" w:space="0" w:color="auto"/>
            <w:left w:val="none" w:sz="0" w:space="0" w:color="auto"/>
            <w:bottom w:val="none" w:sz="0" w:space="0" w:color="auto"/>
            <w:right w:val="none" w:sz="0" w:space="0" w:color="auto"/>
          </w:divBdr>
        </w:div>
        <w:div w:id="1590234432">
          <w:marLeft w:val="0"/>
          <w:marRight w:val="0"/>
          <w:marTop w:val="0"/>
          <w:marBottom w:val="0"/>
          <w:divBdr>
            <w:top w:val="none" w:sz="0" w:space="0" w:color="auto"/>
            <w:left w:val="none" w:sz="0" w:space="0" w:color="auto"/>
            <w:bottom w:val="none" w:sz="0" w:space="0" w:color="auto"/>
            <w:right w:val="none" w:sz="0" w:space="0" w:color="auto"/>
          </w:divBdr>
        </w:div>
        <w:div w:id="1699164204">
          <w:marLeft w:val="0"/>
          <w:marRight w:val="0"/>
          <w:marTop w:val="0"/>
          <w:marBottom w:val="0"/>
          <w:divBdr>
            <w:top w:val="none" w:sz="0" w:space="0" w:color="auto"/>
            <w:left w:val="none" w:sz="0" w:space="0" w:color="auto"/>
            <w:bottom w:val="none" w:sz="0" w:space="0" w:color="auto"/>
            <w:right w:val="none" w:sz="0" w:space="0" w:color="auto"/>
          </w:divBdr>
        </w:div>
        <w:div w:id="1732002831">
          <w:marLeft w:val="0"/>
          <w:marRight w:val="0"/>
          <w:marTop w:val="0"/>
          <w:marBottom w:val="0"/>
          <w:divBdr>
            <w:top w:val="none" w:sz="0" w:space="0" w:color="auto"/>
            <w:left w:val="none" w:sz="0" w:space="0" w:color="auto"/>
            <w:bottom w:val="none" w:sz="0" w:space="0" w:color="auto"/>
            <w:right w:val="none" w:sz="0" w:space="0" w:color="auto"/>
          </w:divBdr>
        </w:div>
        <w:div w:id="1787769035">
          <w:marLeft w:val="0"/>
          <w:marRight w:val="0"/>
          <w:marTop w:val="0"/>
          <w:marBottom w:val="0"/>
          <w:divBdr>
            <w:top w:val="none" w:sz="0" w:space="0" w:color="auto"/>
            <w:left w:val="none" w:sz="0" w:space="0" w:color="auto"/>
            <w:bottom w:val="none" w:sz="0" w:space="0" w:color="auto"/>
            <w:right w:val="none" w:sz="0" w:space="0" w:color="auto"/>
          </w:divBdr>
        </w:div>
        <w:div w:id="1849059134">
          <w:marLeft w:val="0"/>
          <w:marRight w:val="0"/>
          <w:marTop w:val="0"/>
          <w:marBottom w:val="0"/>
          <w:divBdr>
            <w:top w:val="none" w:sz="0" w:space="0" w:color="auto"/>
            <w:left w:val="none" w:sz="0" w:space="0" w:color="auto"/>
            <w:bottom w:val="none" w:sz="0" w:space="0" w:color="auto"/>
            <w:right w:val="none" w:sz="0" w:space="0" w:color="auto"/>
          </w:divBdr>
        </w:div>
        <w:div w:id="1862628313">
          <w:marLeft w:val="0"/>
          <w:marRight w:val="0"/>
          <w:marTop w:val="0"/>
          <w:marBottom w:val="0"/>
          <w:divBdr>
            <w:top w:val="none" w:sz="0" w:space="0" w:color="auto"/>
            <w:left w:val="none" w:sz="0" w:space="0" w:color="auto"/>
            <w:bottom w:val="none" w:sz="0" w:space="0" w:color="auto"/>
            <w:right w:val="none" w:sz="0" w:space="0" w:color="auto"/>
          </w:divBdr>
        </w:div>
        <w:div w:id="2036074013">
          <w:marLeft w:val="0"/>
          <w:marRight w:val="0"/>
          <w:marTop w:val="0"/>
          <w:marBottom w:val="0"/>
          <w:divBdr>
            <w:top w:val="none" w:sz="0" w:space="0" w:color="auto"/>
            <w:left w:val="none" w:sz="0" w:space="0" w:color="auto"/>
            <w:bottom w:val="none" w:sz="0" w:space="0" w:color="auto"/>
            <w:right w:val="none" w:sz="0" w:space="0" w:color="auto"/>
          </w:divBdr>
        </w:div>
        <w:div w:id="2048479766">
          <w:marLeft w:val="0"/>
          <w:marRight w:val="0"/>
          <w:marTop w:val="0"/>
          <w:marBottom w:val="0"/>
          <w:divBdr>
            <w:top w:val="none" w:sz="0" w:space="0" w:color="auto"/>
            <w:left w:val="none" w:sz="0" w:space="0" w:color="auto"/>
            <w:bottom w:val="none" w:sz="0" w:space="0" w:color="auto"/>
            <w:right w:val="none" w:sz="0" w:space="0" w:color="auto"/>
          </w:divBdr>
        </w:div>
        <w:div w:id="2060473118">
          <w:marLeft w:val="0"/>
          <w:marRight w:val="0"/>
          <w:marTop w:val="0"/>
          <w:marBottom w:val="0"/>
          <w:divBdr>
            <w:top w:val="none" w:sz="0" w:space="0" w:color="auto"/>
            <w:left w:val="none" w:sz="0" w:space="0" w:color="auto"/>
            <w:bottom w:val="none" w:sz="0" w:space="0" w:color="auto"/>
            <w:right w:val="none" w:sz="0" w:space="0" w:color="auto"/>
          </w:divBdr>
        </w:div>
      </w:divsChild>
    </w:div>
    <w:div w:id="280965444">
      <w:bodyDiv w:val="1"/>
      <w:marLeft w:val="0"/>
      <w:marRight w:val="0"/>
      <w:marTop w:val="0"/>
      <w:marBottom w:val="0"/>
      <w:divBdr>
        <w:top w:val="none" w:sz="0" w:space="0" w:color="auto"/>
        <w:left w:val="none" w:sz="0" w:space="0" w:color="auto"/>
        <w:bottom w:val="none" w:sz="0" w:space="0" w:color="auto"/>
        <w:right w:val="none" w:sz="0" w:space="0" w:color="auto"/>
      </w:divBdr>
    </w:div>
    <w:div w:id="289165199">
      <w:bodyDiv w:val="1"/>
      <w:marLeft w:val="0"/>
      <w:marRight w:val="0"/>
      <w:marTop w:val="0"/>
      <w:marBottom w:val="0"/>
      <w:divBdr>
        <w:top w:val="none" w:sz="0" w:space="0" w:color="auto"/>
        <w:left w:val="none" w:sz="0" w:space="0" w:color="auto"/>
        <w:bottom w:val="none" w:sz="0" w:space="0" w:color="auto"/>
        <w:right w:val="none" w:sz="0" w:space="0" w:color="auto"/>
      </w:divBdr>
    </w:div>
    <w:div w:id="295184842">
      <w:bodyDiv w:val="1"/>
      <w:marLeft w:val="0"/>
      <w:marRight w:val="0"/>
      <w:marTop w:val="0"/>
      <w:marBottom w:val="0"/>
      <w:divBdr>
        <w:top w:val="none" w:sz="0" w:space="0" w:color="auto"/>
        <w:left w:val="none" w:sz="0" w:space="0" w:color="auto"/>
        <w:bottom w:val="none" w:sz="0" w:space="0" w:color="auto"/>
        <w:right w:val="none" w:sz="0" w:space="0" w:color="auto"/>
      </w:divBdr>
    </w:div>
    <w:div w:id="379743252">
      <w:bodyDiv w:val="1"/>
      <w:marLeft w:val="0"/>
      <w:marRight w:val="0"/>
      <w:marTop w:val="0"/>
      <w:marBottom w:val="0"/>
      <w:divBdr>
        <w:top w:val="none" w:sz="0" w:space="0" w:color="auto"/>
        <w:left w:val="none" w:sz="0" w:space="0" w:color="auto"/>
        <w:bottom w:val="none" w:sz="0" w:space="0" w:color="auto"/>
        <w:right w:val="none" w:sz="0" w:space="0" w:color="auto"/>
      </w:divBdr>
    </w:div>
    <w:div w:id="462239750">
      <w:bodyDiv w:val="1"/>
      <w:marLeft w:val="0"/>
      <w:marRight w:val="0"/>
      <w:marTop w:val="0"/>
      <w:marBottom w:val="0"/>
      <w:divBdr>
        <w:top w:val="none" w:sz="0" w:space="0" w:color="auto"/>
        <w:left w:val="none" w:sz="0" w:space="0" w:color="auto"/>
        <w:bottom w:val="none" w:sz="0" w:space="0" w:color="auto"/>
        <w:right w:val="none" w:sz="0" w:space="0" w:color="auto"/>
      </w:divBdr>
    </w:div>
    <w:div w:id="555315670">
      <w:bodyDiv w:val="1"/>
      <w:marLeft w:val="0"/>
      <w:marRight w:val="0"/>
      <w:marTop w:val="0"/>
      <w:marBottom w:val="0"/>
      <w:divBdr>
        <w:top w:val="none" w:sz="0" w:space="0" w:color="auto"/>
        <w:left w:val="none" w:sz="0" w:space="0" w:color="auto"/>
        <w:bottom w:val="none" w:sz="0" w:space="0" w:color="auto"/>
        <w:right w:val="none" w:sz="0" w:space="0" w:color="auto"/>
      </w:divBdr>
      <w:divsChild>
        <w:div w:id="24329487">
          <w:marLeft w:val="0"/>
          <w:marRight w:val="0"/>
          <w:marTop w:val="0"/>
          <w:marBottom w:val="0"/>
          <w:divBdr>
            <w:top w:val="none" w:sz="0" w:space="0" w:color="auto"/>
            <w:left w:val="none" w:sz="0" w:space="0" w:color="auto"/>
            <w:bottom w:val="none" w:sz="0" w:space="0" w:color="auto"/>
            <w:right w:val="none" w:sz="0" w:space="0" w:color="auto"/>
          </w:divBdr>
        </w:div>
        <w:div w:id="111751013">
          <w:marLeft w:val="0"/>
          <w:marRight w:val="0"/>
          <w:marTop w:val="0"/>
          <w:marBottom w:val="0"/>
          <w:divBdr>
            <w:top w:val="none" w:sz="0" w:space="0" w:color="auto"/>
            <w:left w:val="none" w:sz="0" w:space="0" w:color="auto"/>
            <w:bottom w:val="none" w:sz="0" w:space="0" w:color="auto"/>
            <w:right w:val="none" w:sz="0" w:space="0" w:color="auto"/>
          </w:divBdr>
        </w:div>
        <w:div w:id="156312251">
          <w:marLeft w:val="0"/>
          <w:marRight w:val="0"/>
          <w:marTop w:val="0"/>
          <w:marBottom w:val="0"/>
          <w:divBdr>
            <w:top w:val="none" w:sz="0" w:space="0" w:color="auto"/>
            <w:left w:val="none" w:sz="0" w:space="0" w:color="auto"/>
            <w:bottom w:val="none" w:sz="0" w:space="0" w:color="auto"/>
            <w:right w:val="none" w:sz="0" w:space="0" w:color="auto"/>
          </w:divBdr>
        </w:div>
        <w:div w:id="308288037">
          <w:marLeft w:val="0"/>
          <w:marRight w:val="0"/>
          <w:marTop w:val="0"/>
          <w:marBottom w:val="0"/>
          <w:divBdr>
            <w:top w:val="none" w:sz="0" w:space="0" w:color="auto"/>
            <w:left w:val="none" w:sz="0" w:space="0" w:color="auto"/>
            <w:bottom w:val="none" w:sz="0" w:space="0" w:color="auto"/>
            <w:right w:val="none" w:sz="0" w:space="0" w:color="auto"/>
          </w:divBdr>
        </w:div>
        <w:div w:id="319505168">
          <w:marLeft w:val="0"/>
          <w:marRight w:val="0"/>
          <w:marTop w:val="0"/>
          <w:marBottom w:val="0"/>
          <w:divBdr>
            <w:top w:val="none" w:sz="0" w:space="0" w:color="auto"/>
            <w:left w:val="none" w:sz="0" w:space="0" w:color="auto"/>
            <w:bottom w:val="none" w:sz="0" w:space="0" w:color="auto"/>
            <w:right w:val="none" w:sz="0" w:space="0" w:color="auto"/>
          </w:divBdr>
        </w:div>
        <w:div w:id="456141708">
          <w:marLeft w:val="0"/>
          <w:marRight w:val="0"/>
          <w:marTop w:val="0"/>
          <w:marBottom w:val="0"/>
          <w:divBdr>
            <w:top w:val="none" w:sz="0" w:space="0" w:color="auto"/>
            <w:left w:val="none" w:sz="0" w:space="0" w:color="auto"/>
            <w:bottom w:val="none" w:sz="0" w:space="0" w:color="auto"/>
            <w:right w:val="none" w:sz="0" w:space="0" w:color="auto"/>
          </w:divBdr>
        </w:div>
        <w:div w:id="550578729">
          <w:marLeft w:val="0"/>
          <w:marRight w:val="0"/>
          <w:marTop w:val="0"/>
          <w:marBottom w:val="0"/>
          <w:divBdr>
            <w:top w:val="none" w:sz="0" w:space="0" w:color="auto"/>
            <w:left w:val="none" w:sz="0" w:space="0" w:color="auto"/>
            <w:bottom w:val="none" w:sz="0" w:space="0" w:color="auto"/>
            <w:right w:val="none" w:sz="0" w:space="0" w:color="auto"/>
          </w:divBdr>
        </w:div>
        <w:div w:id="642471346">
          <w:marLeft w:val="0"/>
          <w:marRight w:val="0"/>
          <w:marTop w:val="0"/>
          <w:marBottom w:val="0"/>
          <w:divBdr>
            <w:top w:val="none" w:sz="0" w:space="0" w:color="auto"/>
            <w:left w:val="none" w:sz="0" w:space="0" w:color="auto"/>
            <w:bottom w:val="none" w:sz="0" w:space="0" w:color="auto"/>
            <w:right w:val="none" w:sz="0" w:space="0" w:color="auto"/>
          </w:divBdr>
        </w:div>
        <w:div w:id="667633766">
          <w:marLeft w:val="0"/>
          <w:marRight w:val="0"/>
          <w:marTop w:val="0"/>
          <w:marBottom w:val="0"/>
          <w:divBdr>
            <w:top w:val="none" w:sz="0" w:space="0" w:color="auto"/>
            <w:left w:val="none" w:sz="0" w:space="0" w:color="auto"/>
            <w:bottom w:val="none" w:sz="0" w:space="0" w:color="auto"/>
            <w:right w:val="none" w:sz="0" w:space="0" w:color="auto"/>
          </w:divBdr>
        </w:div>
        <w:div w:id="726875004">
          <w:marLeft w:val="0"/>
          <w:marRight w:val="0"/>
          <w:marTop w:val="0"/>
          <w:marBottom w:val="0"/>
          <w:divBdr>
            <w:top w:val="none" w:sz="0" w:space="0" w:color="auto"/>
            <w:left w:val="none" w:sz="0" w:space="0" w:color="auto"/>
            <w:bottom w:val="none" w:sz="0" w:space="0" w:color="auto"/>
            <w:right w:val="none" w:sz="0" w:space="0" w:color="auto"/>
          </w:divBdr>
        </w:div>
        <w:div w:id="768088284">
          <w:marLeft w:val="0"/>
          <w:marRight w:val="0"/>
          <w:marTop w:val="0"/>
          <w:marBottom w:val="0"/>
          <w:divBdr>
            <w:top w:val="none" w:sz="0" w:space="0" w:color="auto"/>
            <w:left w:val="none" w:sz="0" w:space="0" w:color="auto"/>
            <w:bottom w:val="none" w:sz="0" w:space="0" w:color="auto"/>
            <w:right w:val="none" w:sz="0" w:space="0" w:color="auto"/>
          </w:divBdr>
        </w:div>
        <w:div w:id="802380959">
          <w:marLeft w:val="0"/>
          <w:marRight w:val="0"/>
          <w:marTop w:val="0"/>
          <w:marBottom w:val="0"/>
          <w:divBdr>
            <w:top w:val="none" w:sz="0" w:space="0" w:color="auto"/>
            <w:left w:val="none" w:sz="0" w:space="0" w:color="auto"/>
            <w:bottom w:val="none" w:sz="0" w:space="0" w:color="auto"/>
            <w:right w:val="none" w:sz="0" w:space="0" w:color="auto"/>
          </w:divBdr>
        </w:div>
        <w:div w:id="808479152">
          <w:marLeft w:val="0"/>
          <w:marRight w:val="0"/>
          <w:marTop w:val="0"/>
          <w:marBottom w:val="0"/>
          <w:divBdr>
            <w:top w:val="none" w:sz="0" w:space="0" w:color="auto"/>
            <w:left w:val="none" w:sz="0" w:space="0" w:color="auto"/>
            <w:bottom w:val="none" w:sz="0" w:space="0" w:color="auto"/>
            <w:right w:val="none" w:sz="0" w:space="0" w:color="auto"/>
          </w:divBdr>
        </w:div>
        <w:div w:id="825392927">
          <w:marLeft w:val="0"/>
          <w:marRight w:val="0"/>
          <w:marTop w:val="0"/>
          <w:marBottom w:val="0"/>
          <w:divBdr>
            <w:top w:val="none" w:sz="0" w:space="0" w:color="auto"/>
            <w:left w:val="none" w:sz="0" w:space="0" w:color="auto"/>
            <w:bottom w:val="none" w:sz="0" w:space="0" w:color="auto"/>
            <w:right w:val="none" w:sz="0" w:space="0" w:color="auto"/>
          </w:divBdr>
        </w:div>
        <w:div w:id="1018317107">
          <w:marLeft w:val="0"/>
          <w:marRight w:val="0"/>
          <w:marTop w:val="0"/>
          <w:marBottom w:val="0"/>
          <w:divBdr>
            <w:top w:val="none" w:sz="0" w:space="0" w:color="auto"/>
            <w:left w:val="none" w:sz="0" w:space="0" w:color="auto"/>
            <w:bottom w:val="none" w:sz="0" w:space="0" w:color="auto"/>
            <w:right w:val="none" w:sz="0" w:space="0" w:color="auto"/>
          </w:divBdr>
        </w:div>
        <w:div w:id="1047753702">
          <w:marLeft w:val="0"/>
          <w:marRight w:val="0"/>
          <w:marTop w:val="0"/>
          <w:marBottom w:val="0"/>
          <w:divBdr>
            <w:top w:val="none" w:sz="0" w:space="0" w:color="auto"/>
            <w:left w:val="none" w:sz="0" w:space="0" w:color="auto"/>
            <w:bottom w:val="none" w:sz="0" w:space="0" w:color="auto"/>
            <w:right w:val="none" w:sz="0" w:space="0" w:color="auto"/>
          </w:divBdr>
        </w:div>
        <w:div w:id="1071779254">
          <w:marLeft w:val="0"/>
          <w:marRight w:val="0"/>
          <w:marTop w:val="0"/>
          <w:marBottom w:val="0"/>
          <w:divBdr>
            <w:top w:val="none" w:sz="0" w:space="0" w:color="auto"/>
            <w:left w:val="none" w:sz="0" w:space="0" w:color="auto"/>
            <w:bottom w:val="none" w:sz="0" w:space="0" w:color="auto"/>
            <w:right w:val="none" w:sz="0" w:space="0" w:color="auto"/>
          </w:divBdr>
        </w:div>
        <w:div w:id="1093479020">
          <w:marLeft w:val="0"/>
          <w:marRight w:val="0"/>
          <w:marTop w:val="0"/>
          <w:marBottom w:val="0"/>
          <w:divBdr>
            <w:top w:val="none" w:sz="0" w:space="0" w:color="auto"/>
            <w:left w:val="none" w:sz="0" w:space="0" w:color="auto"/>
            <w:bottom w:val="none" w:sz="0" w:space="0" w:color="auto"/>
            <w:right w:val="none" w:sz="0" w:space="0" w:color="auto"/>
          </w:divBdr>
        </w:div>
        <w:div w:id="1111392130">
          <w:marLeft w:val="0"/>
          <w:marRight w:val="0"/>
          <w:marTop w:val="0"/>
          <w:marBottom w:val="0"/>
          <w:divBdr>
            <w:top w:val="none" w:sz="0" w:space="0" w:color="auto"/>
            <w:left w:val="none" w:sz="0" w:space="0" w:color="auto"/>
            <w:bottom w:val="none" w:sz="0" w:space="0" w:color="auto"/>
            <w:right w:val="none" w:sz="0" w:space="0" w:color="auto"/>
          </w:divBdr>
        </w:div>
        <w:div w:id="1162965586">
          <w:marLeft w:val="0"/>
          <w:marRight w:val="0"/>
          <w:marTop w:val="0"/>
          <w:marBottom w:val="0"/>
          <w:divBdr>
            <w:top w:val="none" w:sz="0" w:space="0" w:color="auto"/>
            <w:left w:val="none" w:sz="0" w:space="0" w:color="auto"/>
            <w:bottom w:val="none" w:sz="0" w:space="0" w:color="auto"/>
            <w:right w:val="none" w:sz="0" w:space="0" w:color="auto"/>
          </w:divBdr>
        </w:div>
        <w:div w:id="1214804133">
          <w:marLeft w:val="0"/>
          <w:marRight w:val="0"/>
          <w:marTop w:val="0"/>
          <w:marBottom w:val="0"/>
          <w:divBdr>
            <w:top w:val="none" w:sz="0" w:space="0" w:color="auto"/>
            <w:left w:val="none" w:sz="0" w:space="0" w:color="auto"/>
            <w:bottom w:val="none" w:sz="0" w:space="0" w:color="auto"/>
            <w:right w:val="none" w:sz="0" w:space="0" w:color="auto"/>
          </w:divBdr>
        </w:div>
        <w:div w:id="1327898253">
          <w:marLeft w:val="0"/>
          <w:marRight w:val="0"/>
          <w:marTop w:val="0"/>
          <w:marBottom w:val="0"/>
          <w:divBdr>
            <w:top w:val="none" w:sz="0" w:space="0" w:color="auto"/>
            <w:left w:val="none" w:sz="0" w:space="0" w:color="auto"/>
            <w:bottom w:val="none" w:sz="0" w:space="0" w:color="auto"/>
            <w:right w:val="none" w:sz="0" w:space="0" w:color="auto"/>
          </w:divBdr>
        </w:div>
        <w:div w:id="1340542796">
          <w:marLeft w:val="0"/>
          <w:marRight w:val="0"/>
          <w:marTop w:val="0"/>
          <w:marBottom w:val="0"/>
          <w:divBdr>
            <w:top w:val="none" w:sz="0" w:space="0" w:color="auto"/>
            <w:left w:val="none" w:sz="0" w:space="0" w:color="auto"/>
            <w:bottom w:val="none" w:sz="0" w:space="0" w:color="auto"/>
            <w:right w:val="none" w:sz="0" w:space="0" w:color="auto"/>
          </w:divBdr>
        </w:div>
        <w:div w:id="1447769255">
          <w:marLeft w:val="0"/>
          <w:marRight w:val="0"/>
          <w:marTop w:val="0"/>
          <w:marBottom w:val="0"/>
          <w:divBdr>
            <w:top w:val="none" w:sz="0" w:space="0" w:color="auto"/>
            <w:left w:val="none" w:sz="0" w:space="0" w:color="auto"/>
            <w:bottom w:val="none" w:sz="0" w:space="0" w:color="auto"/>
            <w:right w:val="none" w:sz="0" w:space="0" w:color="auto"/>
          </w:divBdr>
        </w:div>
        <w:div w:id="1546215199">
          <w:marLeft w:val="0"/>
          <w:marRight w:val="0"/>
          <w:marTop w:val="0"/>
          <w:marBottom w:val="0"/>
          <w:divBdr>
            <w:top w:val="none" w:sz="0" w:space="0" w:color="auto"/>
            <w:left w:val="none" w:sz="0" w:space="0" w:color="auto"/>
            <w:bottom w:val="none" w:sz="0" w:space="0" w:color="auto"/>
            <w:right w:val="none" w:sz="0" w:space="0" w:color="auto"/>
          </w:divBdr>
        </w:div>
        <w:div w:id="1651709089">
          <w:marLeft w:val="0"/>
          <w:marRight w:val="0"/>
          <w:marTop w:val="0"/>
          <w:marBottom w:val="0"/>
          <w:divBdr>
            <w:top w:val="none" w:sz="0" w:space="0" w:color="auto"/>
            <w:left w:val="none" w:sz="0" w:space="0" w:color="auto"/>
            <w:bottom w:val="none" w:sz="0" w:space="0" w:color="auto"/>
            <w:right w:val="none" w:sz="0" w:space="0" w:color="auto"/>
          </w:divBdr>
        </w:div>
        <w:div w:id="1663000416">
          <w:marLeft w:val="0"/>
          <w:marRight w:val="0"/>
          <w:marTop w:val="0"/>
          <w:marBottom w:val="0"/>
          <w:divBdr>
            <w:top w:val="none" w:sz="0" w:space="0" w:color="auto"/>
            <w:left w:val="none" w:sz="0" w:space="0" w:color="auto"/>
            <w:bottom w:val="none" w:sz="0" w:space="0" w:color="auto"/>
            <w:right w:val="none" w:sz="0" w:space="0" w:color="auto"/>
          </w:divBdr>
        </w:div>
        <w:div w:id="1734549478">
          <w:marLeft w:val="0"/>
          <w:marRight w:val="0"/>
          <w:marTop w:val="0"/>
          <w:marBottom w:val="0"/>
          <w:divBdr>
            <w:top w:val="none" w:sz="0" w:space="0" w:color="auto"/>
            <w:left w:val="none" w:sz="0" w:space="0" w:color="auto"/>
            <w:bottom w:val="none" w:sz="0" w:space="0" w:color="auto"/>
            <w:right w:val="none" w:sz="0" w:space="0" w:color="auto"/>
          </w:divBdr>
        </w:div>
        <w:div w:id="1762069137">
          <w:marLeft w:val="0"/>
          <w:marRight w:val="0"/>
          <w:marTop w:val="0"/>
          <w:marBottom w:val="0"/>
          <w:divBdr>
            <w:top w:val="none" w:sz="0" w:space="0" w:color="auto"/>
            <w:left w:val="none" w:sz="0" w:space="0" w:color="auto"/>
            <w:bottom w:val="none" w:sz="0" w:space="0" w:color="auto"/>
            <w:right w:val="none" w:sz="0" w:space="0" w:color="auto"/>
          </w:divBdr>
        </w:div>
        <w:div w:id="1764372896">
          <w:marLeft w:val="0"/>
          <w:marRight w:val="0"/>
          <w:marTop w:val="0"/>
          <w:marBottom w:val="0"/>
          <w:divBdr>
            <w:top w:val="none" w:sz="0" w:space="0" w:color="auto"/>
            <w:left w:val="none" w:sz="0" w:space="0" w:color="auto"/>
            <w:bottom w:val="none" w:sz="0" w:space="0" w:color="auto"/>
            <w:right w:val="none" w:sz="0" w:space="0" w:color="auto"/>
          </w:divBdr>
        </w:div>
        <w:div w:id="1811433822">
          <w:marLeft w:val="0"/>
          <w:marRight w:val="0"/>
          <w:marTop w:val="0"/>
          <w:marBottom w:val="0"/>
          <w:divBdr>
            <w:top w:val="none" w:sz="0" w:space="0" w:color="auto"/>
            <w:left w:val="none" w:sz="0" w:space="0" w:color="auto"/>
            <w:bottom w:val="none" w:sz="0" w:space="0" w:color="auto"/>
            <w:right w:val="none" w:sz="0" w:space="0" w:color="auto"/>
          </w:divBdr>
        </w:div>
        <w:div w:id="1878397389">
          <w:marLeft w:val="0"/>
          <w:marRight w:val="0"/>
          <w:marTop w:val="0"/>
          <w:marBottom w:val="0"/>
          <w:divBdr>
            <w:top w:val="none" w:sz="0" w:space="0" w:color="auto"/>
            <w:left w:val="none" w:sz="0" w:space="0" w:color="auto"/>
            <w:bottom w:val="none" w:sz="0" w:space="0" w:color="auto"/>
            <w:right w:val="none" w:sz="0" w:space="0" w:color="auto"/>
          </w:divBdr>
        </w:div>
        <w:div w:id="1902210304">
          <w:marLeft w:val="0"/>
          <w:marRight w:val="0"/>
          <w:marTop w:val="0"/>
          <w:marBottom w:val="0"/>
          <w:divBdr>
            <w:top w:val="none" w:sz="0" w:space="0" w:color="auto"/>
            <w:left w:val="none" w:sz="0" w:space="0" w:color="auto"/>
            <w:bottom w:val="none" w:sz="0" w:space="0" w:color="auto"/>
            <w:right w:val="none" w:sz="0" w:space="0" w:color="auto"/>
          </w:divBdr>
        </w:div>
        <w:div w:id="1906649247">
          <w:marLeft w:val="0"/>
          <w:marRight w:val="0"/>
          <w:marTop w:val="0"/>
          <w:marBottom w:val="0"/>
          <w:divBdr>
            <w:top w:val="none" w:sz="0" w:space="0" w:color="auto"/>
            <w:left w:val="none" w:sz="0" w:space="0" w:color="auto"/>
            <w:bottom w:val="none" w:sz="0" w:space="0" w:color="auto"/>
            <w:right w:val="none" w:sz="0" w:space="0" w:color="auto"/>
          </w:divBdr>
        </w:div>
        <w:div w:id="1958216161">
          <w:marLeft w:val="0"/>
          <w:marRight w:val="0"/>
          <w:marTop w:val="0"/>
          <w:marBottom w:val="0"/>
          <w:divBdr>
            <w:top w:val="none" w:sz="0" w:space="0" w:color="auto"/>
            <w:left w:val="none" w:sz="0" w:space="0" w:color="auto"/>
            <w:bottom w:val="none" w:sz="0" w:space="0" w:color="auto"/>
            <w:right w:val="none" w:sz="0" w:space="0" w:color="auto"/>
          </w:divBdr>
        </w:div>
        <w:div w:id="1992244788">
          <w:marLeft w:val="0"/>
          <w:marRight w:val="0"/>
          <w:marTop w:val="0"/>
          <w:marBottom w:val="0"/>
          <w:divBdr>
            <w:top w:val="none" w:sz="0" w:space="0" w:color="auto"/>
            <w:left w:val="none" w:sz="0" w:space="0" w:color="auto"/>
            <w:bottom w:val="none" w:sz="0" w:space="0" w:color="auto"/>
            <w:right w:val="none" w:sz="0" w:space="0" w:color="auto"/>
          </w:divBdr>
        </w:div>
        <w:div w:id="2063674062">
          <w:marLeft w:val="0"/>
          <w:marRight w:val="0"/>
          <w:marTop w:val="0"/>
          <w:marBottom w:val="0"/>
          <w:divBdr>
            <w:top w:val="none" w:sz="0" w:space="0" w:color="auto"/>
            <w:left w:val="none" w:sz="0" w:space="0" w:color="auto"/>
            <w:bottom w:val="none" w:sz="0" w:space="0" w:color="auto"/>
            <w:right w:val="none" w:sz="0" w:space="0" w:color="auto"/>
          </w:divBdr>
        </w:div>
        <w:div w:id="2064137060">
          <w:marLeft w:val="0"/>
          <w:marRight w:val="0"/>
          <w:marTop w:val="0"/>
          <w:marBottom w:val="0"/>
          <w:divBdr>
            <w:top w:val="none" w:sz="0" w:space="0" w:color="auto"/>
            <w:left w:val="none" w:sz="0" w:space="0" w:color="auto"/>
            <w:bottom w:val="none" w:sz="0" w:space="0" w:color="auto"/>
            <w:right w:val="none" w:sz="0" w:space="0" w:color="auto"/>
          </w:divBdr>
        </w:div>
        <w:div w:id="2071808486">
          <w:marLeft w:val="0"/>
          <w:marRight w:val="0"/>
          <w:marTop w:val="0"/>
          <w:marBottom w:val="0"/>
          <w:divBdr>
            <w:top w:val="none" w:sz="0" w:space="0" w:color="auto"/>
            <w:left w:val="none" w:sz="0" w:space="0" w:color="auto"/>
            <w:bottom w:val="none" w:sz="0" w:space="0" w:color="auto"/>
            <w:right w:val="none" w:sz="0" w:space="0" w:color="auto"/>
          </w:divBdr>
        </w:div>
        <w:div w:id="2097439308">
          <w:marLeft w:val="0"/>
          <w:marRight w:val="0"/>
          <w:marTop w:val="0"/>
          <w:marBottom w:val="0"/>
          <w:divBdr>
            <w:top w:val="none" w:sz="0" w:space="0" w:color="auto"/>
            <w:left w:val="none" w:sz="0" w:space="0" w:color="auto"/>
            <w:bottom w:val="none" w:sz="0" w:space="0" w:color="auto"/>
            <w:right w:val="none" w:sz="0" w:space="0" w:color="auto"/>
          </w:divBdr>
        </w:div>
        <w:div w:id="2116049626">
          <w:marLeft w:val="0"/>
          <w:marRight w:val="0"/>
          <w:marTop w:val="0"/>
          <w:marBottom w:val="0"/>
          <w:divBdr>
            <w:top w:val="none" w:sz="0" w:space="0" w:color="auto"/>
            <w:left w:val="none" w:sz="0" w:space="0" w:color="auto"/>
            <w:bottom w:val="none" w:sz="0" w:space="0" w:color="auto"/>
            <w:right w:val="none" w:sz="0" w:space="0" w:color="auto"/>
          </w:divBdr>
        </w:div>
      </w:divsChild>
    </w:div>
    <w:div w:id="625620956">
      <w:bodyDiv w:val="1"/>
      <w:marLeft w:val="0"/>
      <w:marRight w:val="0"/>
      <w:marTop w:val="0"/>
      <w:marBottom w:val="0"/>
      <w:divBdr>
        <w:top w:val="none" w:sz="0" w:space="0" w:color="auto"/>
        <w:left w:val="none" w:sz="0" w:space="0" w:color="auto"/>
        <w:bottom w:val="none" w:sz="0" w:space="0" w:color="auto"/>
        <w:right w:val="none" w:sz="0" w:space="0" w:color="auto"/>
      </w:divBdr>
    </w:div>
    <w:div w:id="688138927">
      <w:bodyDiv w:val="1"/>
      <w:marLeft w:val="0"/>
      <w:marRight w:val="0"/>
      <w:marTop w:val="0"/>
      <w:marBottom w:val="0"/>
      <w:divBdr>
        <w:top w:val="none" w:sz="0" w:space="0" w:color="auto"/>
        <w:left w:val="none" w:sz="0" w:space="0" w:color="auto"/>
        <w:bottom w:val="none" w:sz="0" w:space="0" w:color="auto"/>
        <w:right w:val="none" w:sz="0" w:space="0" w:color="auto"/>
      </w:divBdr>
    </w:div>
    <w:div w:id="730810854">
      <w:bodyDiv w:val="1"/>
      <w:marLeft w:val="0"/>
      <w:marRight w:val="0"/>
      <w:marTop w:val="0"/>
      <w:marBottom w:val="0"/>
      <w:divBdr>
        <w:top w:val="none" w:sz="0" w:space="0" w:color="auto"/>
        <w:left w:val="none" w:sz="0" w:space="0" w:color="auto"/>
        <w:bottom w:val="none" w:sz="0" w:space="0" w:color="auto"/>
        <w:right w:val="none" w:sz="0" w:space="0" w:color="auto"/>
      </w:divBdr>
    </w:div>
    <w:div w:id="751391519">
      <w:bodyDiv w:val="1"/>
      <w:marLeft w:val="0"/>
      <w:marRight w:val="0"/>
      <w:marTop w:val="0"/>
      <w:marBottom w:val="0"/>
      <w:divBdr>
        <w:top w:val="none" w:sz="0" w:space="0" w:color="auto"/>
        <w:left w:val="none" w:sz="0" w:space="0" w:color="auto"/>
        <w:bottom w:val="none" w:sz="0" w:space="0" w:color="auto"/>
        <w:right w:val="none" w:sz="0" w:space="0" w:color="auto"/>
      </w:divBdr>
    </w:div>
    <w:div w:id="792793282">
      <w:bodyDiv w:val="1"/>
      <w:marLeft w:val="0"/>
      <w:marRight w:val="0"/>
      <w:marTop w:val="0"/>
      <w:marBottom w:val="0"/>
      <w:divBdr>
        <w:top w:val="none" w:sz="0" w:space="0" w:color="auto"/>
        <w:left w:val="none" w:sz="0" w:space="0" w:color="auto"/>
        <w:bottom w:val="none" w:sz="0" w:space="0" w:color="auto"/>
        <w:right w:val="none" w:sz="0" w:space="0" w:color="auto"/>
      </w:divBdr>
    </w:div>
    <w:div w:id="821238121">
      <w:bodyDiv w:val="1"/>
      <w:marLeft w:val="0"/>
      <w:marRight w:val="0"/>
      <w:marTop w:val="0"/>
      <w:marBottom w:val="0"/>
      <w:divBdr>
        <w:top w:val="none" w:sz="0" w:space="0" w:color="auto"/>
        <w:left w:val="none" w:sz="0" w:space="0" w:color="auto"/>
        <w:bottom w:val="none" w:sz="0" w:space="0" w:color="auto"/>
        <w:right w:val="none" w:sz="0" w:space="0" w:color="auto"/>
      </w:divBdr>
    </w:div>
    <w:div w:id="846865144">
      <w:bodyDiv w:val="1"/>
      <w:marLeft w:val="0"/>
      <w:marRight w:val="0"/>
      <w:marTop w:val="0"/>
      <w:marBottom w:val="0"/>
      <w:divBdr>
        <w:top w:val="none" w:sz="0" w:space="0" w:color="auto"/>
        <w:left w:val="none" w:sz="0" w:space="0" w:color="auto"/>
        <w:bottom w:val="none" w:sz="0" w:space="0" w:color="auto"/>
        <w:right w:val="none" w:sz="0" w:space="0" w:color="auto"/>
      </w:divBdr>
    </w:div>
    <w:div w:id="898437744">
      <w:bodyDiv w:val="1"/>
      <w:marLeft w:val="0"/>
      <w:marRight w:val="0"/>
      <w:marTop w:val="0"/>
      <w:marBottom w:val="0"/>
      <w:divBdr>
        <w:top w:val="none" w:sz="0" w:space="0" w:color="auto"/>
        <w:left w:val="none" w:sz="0" w:space="0" w:color="auto"/>
        <w:bottom w:val="none" w:sz="0" w:space="0" w:color="auto"/>
        <w:right w:val="none" w:sz="0" w:space="0" w:color="auto"/>
      </w:divBdr>
    </w:div>
    <w:div w:id="909465290">
      <w:bodyDiv w:val="1"/>
      <w:marLeft w:val="0"/>
      <w:marRight w:val="0"/>
      <w:marTop w:val="0"/>
      <w:marBottom w:val="0"/>
      <w:divBdr>
        <w:top w:val="none" w:sz="0" w:space="0" w:color="auto"/>
        <w:left w:val="none" w:sz="0" w:space="0" w:color="auto"/>
        <w:bottom w:val="none" w:sz="0" w:space="0" w:color="auto"/>
        <w:right w:val="none" w:sz="0" w:space="0" w:color="auto"/>
      </w:divBdr>
    </w:div>
    <w:div w:id="925849135">
      <w:bodyDiv w:val="1"/>
      <w:marLeft w:val="0"/>
      <w:marRight w:val="0"/>
      <w:marTop w:val="0"/>
      <w:marBottom w:val="0"/>
      <w:divBdr>
        <w:top w:val="none" w:sz="0" w:space="0" w:color="auto"/>
        <w:left w:val="none" w:sz="0" w:space="0" w:color="auto"/>
        <w:bottom w:val="none" w:sz="0" w:space="0" w:color="auto"/>
        <w:right w:val="none" w:sz="0" w:space="0" w:color="auto"/>
      </w:divBdr>
    </w:div>
    <w:div w:id="1008211795">
      <w:bodyDiv w:val="1"/>
      <w:marLeft w:val="0"/>
      <w:marRight w:val="0"/>
      <w:marTop w:val="0"/>
      <w:marBottom w:val="0"/>
      <w:divBdr>
        <w:top w:val="none" w:sz="0" w:space="0" w:color="auto"/>
        <w:left w:val="none" w:sz="0" w:space="0" w:color="auto"/>
        <w:bottom w:val="none" w:sz="0" w:space="0" w:color="auto"/>
        <w:right w:val="none" w:sz="0" w:space="0" w:color="auto"/>
      </w:divBdr>
      <w:divsChild>
        <w:div w:id="405106738">
          <w:marLeft w:val="0"/>
          <w:marRight w:val="0"/>
          <w:marTop w:val="0"/>
          <w:marBottom w:val="0"/>
          <w:divBdr>
            <w:top w:val="none" w:sz="0" w:space="0" w:color="auto"/>
            <w:left w:val="none" w:sz="0" w:space="0" w:color="auto"/>
            <w:bottom w:val="none" w:sz="0" w:space="0" w:color="auto"/>
            <w:right w:val="none" w:sz="0" w:space="0" w:color="auto"/>
          </w:divBdr>
        </w:div>
        <w:div w:id="668603975">
          <w:marLeft w:val="0"/>
          <w:marRight w:val="0"/>
          <w:marTop w:val="0"/>
          <w:marBottom w:val="0"/>
          <w:divBdr>
            <w:top w:val="none" w:sz="0" w:space="0" w:color="auto"/>
            <w:left w:val="none" w:sz="0" w:space="0" w:color="auto"/>
            <w:bottom w:val="none" w:sz="0" w:space="0" w:color="auto"/>
            <w:right w:val="none" w:sz="0" w:space="0" w:color="auto"/>
          </w:divBdr>
          <w:divsChild>
            <w:div w:id="670399">
              <w:marLeft w:val="0"/>
              <w:marRight w:val="0"/>
              <w:marTop w:val="0"/>
              <w:marBottom w:val="0"/>
              <w:divBdr>
                <w:top w:val="none" w:sz="0" w:space="0" w:color="auto"/>
                <w:left w:val="none" w:sz="0" w:space="0" w:color="auto"/>
                <w:bottom w:val="none" w:sz="0" w:space="0" w:color="auto"/>
                <w:right w:val="none" w:sz="0" w:space="0" w:color="auto"/>
              </w:divBdr>
            </w:div>
            <w:div w:id="709570756">
              <w:marLeft w:val="0"/>
              <w:marRight w:val="0"/>
              <w:marTop w:val="0"/>
              <w:marBottom w:val="0"/>
              <w:divBdr>
                <w:top w:val="none" w:sz="0" w:space="0" w:color="auto"/>
                <w:left w:val="none" w:sz="0" w:space="0" w:color="auto"/>
                <w:bottom w:val="none" w:sz="0" w:space="0" w:color="auto"/>
                <w:right w:val="none" w:sz="0" w:space="0" w:color="auto"/>
              </w:divBdr>
            </w:div>
            <w:div w:id="826899913">
              <w:marLeft w:val="0"/>
              <w:marRight w:val="0"/>
              <w:marTop w:val="0"/>
              <w:marBottom w:val="0"/>
              <w:divBdr>
                <w:top w:val="none" w:sz="0" w:space="0" w:color="auto"/>
                <w:left w:val="none" w:sz="0" w:space="0" w:color="auto"/>
                <w:bottom w:val="none" w:sz="0" w:space="0" w:color="auto"/>
                <w:right w:val="none" w:sz="0" w:space="0" w:color="auto"/>
              </w:divBdr>
            </w:div>
            <w:div w:id="1027439274">
              <w:marLeft w:val="0"/>
              <w:marRight w:val="0"/>
              <w:marTop w:val="0"/>
              <w:marBottom w:val="0"/>
              <w:divBdr>
                <w:top w:val="none" w:sz="0" w:space="0" w:color="auto"/>
                <w:left w:val="none" w:sz="0" w:space="0" w:color="auto"/>
                <w:bottom w:val="none" w:sz="0" w:space="0" w:color="auto"/>
                <w:right w:val="none" w:sz="0" w:space="0" w:color="auto"/>
              </w:divBdr>
            </w:div>
            <w:div w:id="1797601272">
              <w:marLeft w:val="0"/>
              <w:marRight w:val="0"/>
              <w:marTop w:val="0"/>
              <w:marBottom w:val="0"/>
              <w:divBdr>
                <w:top w:val="none" w:sz="0" w:space="0" w:color="auto"/>
                <w:left w:val="none" w:sz="0" w:space="0" w:color="auto"/>
                <w:bottom w:val="none" w:sz="0" w:space="0" w:color="auto"/>
                <w:right w:val="none" w:sz="0" w:space="0" w:color="auto"/>
              </w:divBdr>
            </w:div>
            <w:div w:id="1918053817">
              <w:marLeft w:val="0"/>
              <w:marRight w:val="0"/>
              <w:marTop w:val="0"/>
              <w:marBottom w:val="0"/>
              <w:divBdr>
                <w:top w:val="none" w:sz="0" w:space="0" w:color="auto"/>
                <w:left w:val="none" w:sz="0" w:space="0" w:color="auto"/>
                <w:bottom w:val="none" w:sz="0" w:space="0" w:color="auto"/>
                <w:right w:val="none" w:sz="0" w:space="0" w:color="auto"/>
              </w:divBdr>
            </w:div>
            <w:div w:id="1952785431">
              <w:marLeft w:val="0"/>
              <w:marRight w:val="0"/>
              <w:marTop w:val="0"/>
              <w:marBottom w:val="0"/>
              <w:divBdr>
                <w:top w:val="none" w:sz="0" w:space="0" w:color="auto"/>
                <w:left w:val="none" w:sz="0" w:space="0" w:color="auto"/>
                <w:bottom w:val="none" w:sz="0" w:space="0" w:color="auto"/>
                <w:right w:val="none" w:sz="0" w:space="0" w:color="auto"/>
              </w:divBdr>
            </w:div>
            <w:div w:id="2063433321">
              <w:marLeft w:val="0"/>
              <w:marRight w:val="0"/>
              <w:marTop w:val="0"/>
              <w:marBottom w:val="0"/>
              <w:divBdr>
                <w:top w:val="none" w:sz="0" w:space="0" w:color="auto"/>
                <w:left w:val="none" w:sz="0" w:space="0" w:color="auto"/>
                <w:bottom w:val="none" w:sz="0" w:space="0" w:color="auto"/>
                <w:right w:val="none" w:sz="0" w:space="0" w:color="auto"/>
              </w:divBdr>
            </w:div>
          </w:divsChild>
        </w:div>
        <w:div w:id="831915586">
          <w:marLeft w:val="0"/>
          <w:marRight w:val="0"/>
          <w:marTop w:val="0"/>
          <w:marBottom w:val="0"/>
          <w:divBdr>
            <w:top w:val="none" w:sz="0" w:space="0" w:color="auto"/>
            <w:left w:val="none" w:sz="0" w:space="0" w:color="auto"/>
            <w:bottom w:val="none" w:sz="0" w:space="0" w:color="auto"/>
            <w:right w:val="none" w:sz="0" w:space="0" w:color="auto"/>
          </w:divBdr>
          <w:divsChild>
            <w:div w:id="580065283">
              <w:marLeft w:val="0"/>
              <w:marRight w:val="0"/>
              <w:marTop w:val="0"/>
              <w:marBottom w:val="0"/>
              <w:divBdr>
                <w:top w:val="none" w:sz="0" w:space="0" w:color="auto"/>
                <w:left w:val="none" w:sz="0" w:space="0" w:color="auto"/>
                <w:bottom w:val="none" w:sz="0" w:space="0" w:color="auto"/>
                <w:right w:val="none" w:sz="0" w:space="0" w:color="auto"/>
              </w:divBdr>
            </w:div>
            <w:div w:id="1085540268">
              <w:marLeft w:val="0"/>
              <w:marRight w:val="0"/>
              <w:marTop w:val="0"/>
              <w:marBottom w:val="0"/>
              <w:divBdr>
                <w:top w:val="none" w:sz="0" w:space="0" w:color="auto"/>
                <w:left w:val="none" w:sz="0" w:space="0" w:color="auto"/>
                <w:bottom w:val="none" w:sz="0" w:space="0" w:color="auto"/>
                <w:right w:val="none" w:sz="0" w:space="0" w:color="auto"/>
              </w:divBdr>
            </w:div>
            <w:div w:id="1368598739">
              <w:marLeft w:val="0"/>
              <w:marRight w:val="0"/>
              <w:marTop w:val="0"/>
              <w:marBottom w:val="0"/>
              <w:divBdr>
                <w:top w:val="none" w:sz="0" w:space="0" w:color="auto"/>
                <w:left w:val="none" w:sz="0" w:space="0" w:color="auto"/>
                <w:bottom w:val="none" w:sz="0" w:space="0" w:color="auto"/>
                <w:right w:val="none" w:sz="0" w:space="0" w:color="auto"/>
              </w:divBdr>
            </w:div>
            <w:div w:id="1430544582">
              <w:marLeft w:val="0"/>
              <w:marRight w:val="0"/>
              <w:marTop w:val="0"/>
              <w:marBottom w:val="0"/>
              <w:divBdr>
                <w:top w:val="none" w:sz="0" w:space="0" w:color="auto"/>
                <w:left w:val="none" w:sz="0" w:space="0" w:color="auto"/>
                <w:bottom w:val="none" w:sz="0" w:space="0" w:color="auto"/>
                <w:right w:val="none" w:sz="0" w:space="0" w:color="auto"/>
              </w:divBdr>
            </w:div>
            <w:div w:id="1643535632">
              <w:marLeft w:val="0"/>
              <w:marRight w:val="0"/>
              <w:marTop w:val="0"/>
              <w:marBottom w:val="0"/>
              <w:divBdr>
                <w:top w:val="none" w:sz="0" w:space="0" w:color="auto"/>
                <w:left w:val="none" w:sz="0" w:space="0" w:color="auto"/>
                <w:bottom w:val="none" w:sz="0" w:space="0" w:color="auto"/>
                <w:right w:val="none" w:sz="0" w:space="0" w:color="auto"/>
              </w:divBdr>
            </w:div>
          </w:divsChild>
        </w:div>
        <w:div w:id="1000085943">
          <w:marLeft w:val="0"/>
          <w:marRight w:val="0"/>
          <w:marTop w:val="0"/>
          <w:marBottom w:val="0"/>
          <w:divBdr>
            <w:top w:val="none" w:sz="0" w:space="0" w:color="auto"/>
            <w:left w:val="none" w:sz="0" w:space="0" w:color="auto"/>
            <w:bottom w:val="none" w:sz="0" w:space="0" w:color="auto"/>
            <w:right w:val="none" w:sz="0" w:space="0" w:color="auto"/>
          </w:divBdr>
        </w:div>
        <w:div w:id="1168060523">
          <w:marLeft w:val="0"/>
          <w:marRight w:val="0"/>
          <w:marTop w:val="0"/>
          <w:marBottom w:val="0"/>
          <w:divBdr>
            <w:top w:val="none" w:sz="0" w:space="0" w:color="auto"/>
            <w:left w:val="none" w:sz="0" w:space="0" w:color="auto"/>
            <w:bottom w:val="none" w:sz="0" w:space="0" w:color="auto"/>
            <w:right w:val="none" w:sz="0" w:space="0" w:color="auto"/>
          </w:divBdr>
          <w:divsChild>
            <w:div w:id="589587294">
              <w:marLeft w:val="0"/>
              <w:marRight w:val="0"/>
              <w:marTop w:val="0"/>
              <w:marBottom w:val="0"/>
              <w:divBdr>
                <w:top w:val="none" w:sz="0" w:space="0" w:color="auto"/>
                <w:left w:val="none" w:sz="0" w:space="0" w:color="auto"/>
                <w:bottom w:val="none" w:sz="0" w:space="0" w:color="auto"/>
                <w:right w:val="none" w:sz="0" w:space="0" w:color="auto"/>
              </w:divBdr>
            </w:div>
            <w:div w:id="1129515862">
              <w:marLeft w:val="0"/>
              <w:marRight w:val="0"/>
              <w:marTop w:val="0"/>
              <w:marBottom w:val="0"/>
              <w:divBdr>
                <w:top w:val="none" w:sz="0" w:space="0" w:color="auto"/>
                <w:left w:val="none" w:sz="0" w:space="0" w:color="auto"/>
                <w:bottom w:val="none" w:sz="0" w:space="0" w:color="auto"/>
                <w:right w:val="none" w:sz="0" w:space="0" w:color="auto"/>
              </w:divBdr>
            </w:div>
          </w:divsChild>
        </w:div>
        <w:div w:id="1401756719">
          <w:marLeft w:val="0"/>
          <w:marRight w:val="0"/>
          <w:marTop w:val="0"/>
          <w:marBottom w:val="0"/>
          <w:divBdr>
            <w:top w:val="none" w:sz="0" w:space="0" w:color="auto"/>
            <w:left w:val="none" w:sz="0" w:space="0" w:color="auto"/>
            <w:bottom w:val="none" w:sz="0" w:space="0" w:color="auto"/>
            <w:right w:val="none" w:sz="0" w:space="0" w:color="auto"/>
          </w:divBdr>
          <w:divsChild>
            <w:div w:id="171069262">
              <w:marLeft w:val="0"/>
              <w:marRight w:val="0"/>
              <w:marTop w:val="0"/>
              <w:marBottom w:val="0"/>
              <w:divBdr>
                <w:top w:val="none" w:sz="0" w:space="0" w:color="auto"/>
                <w:left w:val="none" w:sz="0" w:space="0" w:color="auto"/>
                <w:bottom w:val="none" w:sz="0" w:space="0" w:color="auto"/>
                <w:right w:val="none" w:sz="0" w:space="0" w:color="auto"/>
              </w:divBdr>
            </w:div>
            <w:div w:id="1716194880">
              <w:marLeft w:val="0"/>
              <w:marRight w:val="0"/>
              <w:marTop w:val="0"/>
              <w:marBottom w:val="0"/>
              <w:divBdr>
                <w:top w:val="none" w:sz="0" w:space="0" w:color="auto"/>
                <w:left w:val="none" w:sz="0" w:space="0" w:color="auto"/>
                <w:bottom w:val="none" w:sz="0" w:space="0" w:color="auto"/>
                <w:right w:val="none" w:sz="0" w:space="0" w:color="auto"/>
              </w:divBdr>
            </w:div>
            <w:div w:id="1847405299">
              <w:marLeft w:val="0"/>
              <w:marRight w:val="0"/>
              <w:marTop w:val="0"/>
              <w:marBottom w:val="0"/>
              <w:divBdr>
                <w:top w:val="none" w:sz="0" w:space="0" w:color="auto"/>
                <w:left w:val="none" w:sz="0" w:space="0" w:color="auto"/>
                <w:bottom w:val="none" w:sz="0" w:space="0" w:color="auto"/>
                <w:right w:val="none" w:sz="0" w:space="0" w:color="auto"/>
              </w:divBdr>
            </w:div>
            <w:div w:id="2138571651">
              <w:marLeft w:val="0"/>
              <w:marRight w:val="0"/>
              <w:marTop w:val="0"/>
              <w:marBottom w:val="0"/>
              <w:divBdr>
                <w:top w:val="none" w:sz="0" w:space="0" w:color="auto"/>
                <w:left w:val="none" w:sz="0" w:space="0" w:color="auto"/>
                <w:bottom w:val="none" w:sz="0" w:space="0" w:color="auto"/>
                <w:right w:val="none" w:sz="0" w:space="0" w:color="auto"/>
              </w:divBdr>
            </w:div>
          </w:divsChild>
        </w:div>
        <w:div w:id="1438717144">
          <w:marLeft w:val="0"/>
          <w:marRight w:val="0"/>
          <w:marTop w:val="0"/>
          <w:marBottom w:val="0"/>
          <w:divBdr>
            <w:top w:val="none" w:sz="0" w:space="0" w:color="auto"/>
            <w:left w:val="none" w:sz="0" w:space="0" w:color="auto"/>
            <w:bottom w:val="none" w:sz="0" w:space="0" w:color="auto"/>
            <w:right w:val="none" w:sz="0" w:space="0" w:color="auto"/>
          </w:divBdr>
          <w:divsChild>
            <w:div w:id="134300084">
              <w:marLeft w:val="0"/>
              <w:marRight w:val="0"/>
              <w:marTop w:val="0"/>
              <w:marBottom w:val="0"/>
              <w:divBdr>
                <w:top w:val="none" w:sz="0" w:space="0" w:color="auto"/>
                <w:left w:val="none" w:sz="0" w:space="0" w:color="auto"/>
                <w:bottom w:val="none" w:sz="0" w:space="0" w:color="auto"/>
                <w:right w:val="none" w:sz="0" w:space="0" w:color="auto"/>
              </w:divBdr>
            </w:div>
            <w:div w:id="253906958">
              <w:marLeft w:val="0"/>
              <w:marRight w:val="0"/>
              <w:marTop w:val="0"/>
              <w:marBottom w:val="0"/>
              <w:divBdr>
                <w:top w:val="none" w:sz="0" w:space="0" w:color="auto"/>
                <w:left w:val="none" w:sz="0" w:space="0" w:color="auto"/>
                <w:bottom w:val="none" w:sz="0" w:space="0" w:color="auto"/>
                <w:right w:val="none" w:sz="0" w:space="0" w:color="auto"/>
              </w:divBdr>
            </w:div>
            <w:div w:id="334573981">
              <w:marLeft w:val="0"/>
              <w:marRight w:val="0"/>
              <w:marTop w:val="0"/>
              <w:marBottom w:val="0"/>
              <w:divBdr>
                <w:top w:val="none" w:sz="0" w:space="0" w:color="auto"/>
                <w:left w:val="none" w:sz="0" w:space="0" w:color="auto"/>
                <w:bottom w:val="none" w:sz="0" w:space="0" w:color="auto"/>
                <w:right w:val="none" w:sz="0" w:space="0" w:color="auto"/>
              </w:divBdr>
            </w:div>
            <w:div w:id="416094769">
              <w:marLeft w:val="0"/>
              <w:marRight w:val="0"/>
              <w:marTop w:val="0"/>
              <w:marBottom w:val="0"/>
              <w:divBdr>
                <w:top w:val="none" w:sz="0" w:space="0" w:color="auto"/>
                <w:left w:val="none" w:sz="0" w:space="0" w:color="auto"/>
                <w:bottom w:val="none" w:sz="0" w:space="0" w:color="auto"/>
                <w:right w:val="none" w:sz="0" w:space="0" w:color="auto"/>
              </w:divBdr>
            </w:div>
            <w:div w:id="597098592">
              <w:marLeft w:val="0"/>
              <w:marRight w:val="0"/>
              <w:marTop w:val="0"/>
              <w:marBottom w:val="0"/>
              <w:divBdr>
                <w:top w:val="none" w:sz="0" w:space="0" w:color="auto"/>
                <w:left w:val="none" w:sz="0" w:space="0" w:color="auto"/>
                <w:bottom w:val="none" w:sz="0" w:space="0" w:color="auto"/>
                <w:right w:val="none" w:sz="0" w:space="0" w:color="auto"/>
              </w:divBdr>
            </w:div>
            <w:div w:id="749735957">
              <w:marLeft w:val="0"/>
              <w:marRight w:val="0"/>
              <w:marTop w:val="0"/>
              <w:marBottom w:val="0"/>
              <w:divBdr>
                <w:top w:val="none" w:sz="0" w:space="0" w:color="auto"/>
                <w:left w:val="none" w:sz="0" w:space="0" w:color="auto"/>
                <w:bottom w:val="none" w:sz="0" w:space="0" w:color="auto"/>
                <w:right w:val="none" w:sz="0" w:space="0" w:color="auto"/>
              </w:divBdr>
            </w:div>
            <w:div w:id="812219046">
              <w:marLeft w:val="0"/>
              <w:marRight w:val="0"/>
              <w:marTop w:val="0"/>
              <w:marBottom w:val="0"/>
              <w:divBdr>
                <w:top w:val="none" w:sz="0" w:space="0" w:color="auto"/>
                <w:left w:val="none" w:sz="0" w:space="0" w:color="auto"/>
                <w:bottom w:val="none" w:sz="0" w:space="0" w:color="auto"/>
                <w:right w:val="none" w:sz="0" w:space="0" w:color="auto"/>
              </w:divBdr>
            </w:div>
            <w:div w:id="944464970">
              <w:marLeft w:val="0"/>
              <w:marRight w:val="0"/>
              <w:marTop w:val="0"/>
              <w:marBottom w:val="0"/>
              <w:divBdr>
                <w:top w:val="none" w:sz="0" w:space="0" w:color="auto"/>
                <w:left w:val="none" w:sz="0" w:space="0" w:color="auto"/>
                <w:bottom w:val="none" w:sz="0" w:space="0" w:color="auto"/>
                <w:right w:val="none" w:sz="0" w:space="0" w:color="auto"/>
              </w:divBdr>
            </w:div>
            <w:div w:id="1345206336">
              <w:marLeft w:val="0"/>
              <w:marRight w:val="0"/>
              <w:marTop w:val="0"/>
              <w:marBottom w:val="0"/>
              <w:divBdr>
                <w:top w:val="none" w:sz="0" w:space="0" w:color="auto"/>
                <w:left w:val="none" w:sz="0" w:space="0" w:color="auto"/>
                <w:bottom w:val="none" w:sz="0" w:space="0" w:color="auto"/>
                <w:right w:val="none" w:sz="0" w:space="0" w:color="auto"/>
              </w:divBdr>
            </w:div>
            <w:div w:id="1354265424">
              <w:marLeft w:val="0"/>
              <w:marRight w:val="0"/>
              <w:marTop w:val="0"/>
              <w:marBottom w:val="0"/>
              <w:divBdr>
                <w:top w:val="none" w:sz="0" w:space="0" w:color="auto"/>
                <w:left w:val="none" w:sz="0" w:space="0" w:color="auto"/>
                <w:bottom w:val="none" w:sz="0" w:space="0" w:color="auto"/>
                <w:right w:val="none" w:sz="0" w:space="0" w:color="auto"/>
              </w:divBdr>
            </w:div>
            <w:div w:id="1463572706">
              <w:marLeft w:val="0"/>
              <w:marRight w:val="0"/>
              <w:marTop w:val="0"/>
              <w:marBottom w:val="0"/>
              <w:divBdr>
                <w:top w:val="none" w:sz="0" w:space="0" w:color="auto"/>
                <w:left w:val="none" w:sz="0" w:space="0" w:color="auto"/>
                <w:bottom w:val="none" w:sz="0" w:space="0" w:color="auto"/>
                <w:right w:val="none" w:sz="0" w:space="0" w:color="auto"/>
              </w:divBdr>
            </w:div>
            <w:div w:id="1737702935">
              <w:marLeft w:val="0"/>
              <w:marRight w:val="0"/>
              <w:marTop w:val="0"/>
              <w:marBottom w:val="0"/>
              <w:divBdr>
                <w:top w:val="none" w:sz="0" w:space="0" w:color="auto"/>
                <w:left w:val="none" w:sz="0" w:space="0" w:color="auto"/>
                <w:bottom w:val="none" w:sz="0" w:space="0" w:color="auto"/>
                <w:right w:val="none" w:sz="0" w:space="0" w:color="auto"/>
              </w:divBdr>
            </w:div>
            <w:div w:id="1820268598">
              <w:marLeft w:val="0"/>
              <w:marRight w:val="0"/>
              <w:marTop w:val="0"/>
              <w:marBottom w:val="0"/>
              <w:divBdr>
                <w:top w:val="none" w:sz="0" w:space="0" w:color="auto"/>
                <w:left w:val="none" w:sz="0" w:space="0" w:color="auto"/>
                <w:bottom w:val="none" w:sz="0" w:space="0" w:color="auto"/>
                <w:right w:val="none" w:sz="0" w:space="0" w:color="auto"/>
              </w:divBdr>
            </w:div>
            <w:div w:id="1897158303">
              <w:marLeft w:val="0"/>
              <w:marRight w:val="0"/>
              <w:marTop w:val="0"/>
              <w:marBottom w:val="0"/>
              <w:divBdr>
                <w:top w:val="none" w:sz="0" w:space="0" w:color="auto"/>
                <w:left w:val="none" w:sz="0" w:space="0" w:color="auto"/>
                <w:bottom w:val="none" w:sz="0" w:space="0" w:color="auto"/>
                <w:right w:val="none" w:sz="0" w:space="0" w:color="auto"/>
              </w:divBdr>
            </w:div>
            <w:div w:id="1918788099">
              <w:marLeft w:val="0"/>
              <w:marRight w:val="0"/>
              <w:marTop w:val="0"/>
              <w:marBottom w:val="0"/>
              <w:divBdr>
                <w:top w:val="none" w:sz="0" w:space="0" w:color="auto"/>
                <w:left w:val="none" w:sz="0" w:space="0" w:color="auto"/>
                <w:bottom w:val="none" w:sz="0" w:space="0" w:color="auto"/>
                <w:right w:val="none" w:sz="0" w:space="0" w:color="auto"/>
              </w:divBdr>
            </w:div>
            <w:div w:id="1963220243">
              <w:marLeft w:val="0"/>
              <w:marRight w:val="0"/>
              <w:marTop w:val="0"/>
              <w:marBottom w:val="0"/>
              <w:divBdr>
                <w:top w:val="none" w:sz="0" w:space="0" w:color="auto"/>
                <w:left w:val="none" w:sz="0" w:space="0" w:color="auto"/>
                <w:bottom w:val="none" w:sz="0" w:space="0" w:color="auto"/>
                <w:right w:val="none" w:sz="0" w:space="0" w:color="auto"/>
              </w:divBdr>
            </w:div>
            <w:div w:id="2003897801">
              <w:marLeft w:val="0"/>
              <w:marRight w:val="0"/>
              <w:marTop w:val="0"/>
              <w:marBottom w:val="0"/>
              <w:divBdr>
                <w:top w:val="none" w:sz="0" w:space="0" w:color="auto"/>
                <w:left w:val="none" w:sz="0" w:space="0" w:color="auto"/>
                <w:bottom w:val="none" w:sz="0" w:space="0" w:color="auto"/>
                <w:right w:val="none" w:sz="0" w:space="0" w:color="auto"/>
              </w:divBdr>
            </w:div>
          </w:divsChild>
        </w:div>
        <w:div w:id="1572425465">
          <w:marLeft w:val="0"/>
          <w:marRight w:val="0"/>
          <w:marTop w:val="0"/>
          <w:marBottom w:val="0"/>
          <w:divBdr>
            <w:top w:val="none" w:sz="0" w:space="0" w:color="auto"/>
            <w:left w:val="none" w:sz="0" w:space="0" w:color="auto"/>
            <w:bottom w:val="none" w:sz="0" w:space="0" w:color="auto"/>
            <w:right w:val="none" w:sz="0" w:space="0" w:color="auto"/>
          </w:divBdr>
        </w:div>
        <w:div w:id="1620261651">
          <w:marLeft w:val="0"/>
          <w:marRight w:val="0"/>
          <w:marTop w:val="0"/>
          <w:marBottom w:val="0"/>
          <w:divBdr>
            <w:top w:val="none" w:sz="0" w:space="0" w:color="auto"/>
            <w:left w:val="none" w:sz="0" w:space="0" w:color="auto"/>
            <w:bottom w:val="none" w:sz="0" w:space="0" w:color="auto"/>
            <w:right w:val="none" w:sz="0" w:space="0" w:color="auto"/>
          </w:divBdr>
        </w:div>
        <w:div w:id="1830251351">
          <w:marLeft w:val="0"/>
          <w:marRight w:val="0"/>
          <w:marTop w:val="0"/>
          <w:marBottom w:val="0"/>
          <w:divBdr>
            <w:top w:val="none" w:sz="0" w:space="0" w:color="auto"/>
            <w:left w:val="none" w:sz="0" w:space="0" w:color="auto"/>
            <w:bottom w:val="none" w:sz="0" w:space="0" w:color="auto"/>
            <w:right w:val="none" w:sz="0" w:space="0" w:color="auto"/>
          </w:divBdr>
          <w:divsChild>
            <w:div w:id="251359907">
              <w:marLeft w:val="0"/>
              <w:marRight w:val="0"/>
              <w:marTop w:val="0"/>
              <w:marBottom w:val="0"/>
              <w:divBdr>
                <w:top w:val="none" w:sz="0" w:space="0" w:color="auto"/>
                <w:left w:val="none" w:sz="0" w:space="0" w:color="auto"/>
                <w:bottom w:val="none" w:sz="0" w:space="0" w:color="auto"/>
                <w:right w:val="none" w:sz="0" w:space="0" w:color="auto"/>
              </w:divBdr>
            </w:div>
            <w:div w:id="388573474">
              <w:marLeft w:val="0"/>
              <w:marRight w:val="0"/>
              <w:marTop w:val="0"/>
              <w:marBottom w:val="0"/>
              <w:divBdr>
                <w:top w:val="none" w:sz="0" w:space="0" w:color="auto"/>
                <w:left w:val="none" w:sz="0" w:space="0" w:color="auto"/>
                <w:bottom w:val="none" w:sz="0" w:space="0" w:color="auto"/>
                <w:right w:val="none" w:sz="0" w:space="0" w:color="auto"/>
              </w:divBdr>
            </w:div>
            <w:div w:id="438262554">
              <w:marLeft w:val="0"/>
              <w:marRight w:val="0"/>
              <w:marTop w:val="0"/>
              <w:marBottom w:val="0"/>
              <w:divBdr>
                <w:top w:val="none" w:sz="0" w:space="0" w:color="auto"/>
                <w:left w:val="none" w:sz="0" w:space="0" w:color="auto"/>
                <w:bottom w:val="none" w:sz="0" w:space="0" w:color="auto"/>
                <w:right w:val="none" w:sz="0" w:space="0" w:color="auto"/>
              </w:divBdr>
            </w:div>
            <w:div w:id="1769423659">
              <w:marLeft w:val="0"/>
              <w:marRight w:val="0"/>
              <w:marTop w:val="0"/>
              <w:marBottom w:val="0"/>
              <w:divBdr>
                <w:top w:val="none" w:sz="0" w:space="0" w:color="auto"/>
                <w:left w:val="none" w:sz="0" w:space="0" w:color="auto"/>
                <w:bottom w:val="none" w:sz="0" w:space="0" w:color="auto"/>
                <w:right w:val="none" w:sz="0" w:space="0" w:color="auto"/>
              </w:divBdr>
            </w:div>
            <w:div w:id="177578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341516">
      <w:bodyDiv w:val="1"/>
      <w:marLeft w:val="0"/>
      <w:marRight w:val="0"/>
      <w:marTop w:val="0"/>
      <w:marBottom w:val="0"/>
      <w:divBdr>
        <w:top w:val="none" w:sz="0" w:space="0" w:color="auto"/>
        <w:left w:val="none" w:sz="0" w:space="0" w:color="auto"/>
        <w:bottom w:val="none" w:sz="0" w:space="0" w:color="auto"/>
        <w:right w:val="none" w:sz="0" w:space="0" w:color="auto"/>
      </w:divBdr>
    </w:div>
    <w:div w:id="1134057904">
      <w:bodyDiv w:val="1"/>
      <w:marLeft w:val="0"/>
      <w:marRight w:val="0"/>
      <w:marTop w:val="0"/>
      <w:marBottom w:val="0"/>
      <w:divBdr>
        <w:top w:val="none" w:sz="0" w:space="0" w:color="auto"/>
        <w:left w:val="none" w:sz="0" w:space="0" w:color="auto"/>
        <w:bottom w:val="none" w:sz="0" w:space="0" w:color="auto"/>
        <w:right w:val="none" w:sz="0" w:space="0" w:color="auto"/>
      </w:divBdr>
    </w:div>
    <w:div w:id="1204488498">
      <w:bodyDiv w:val="1"/>
      <w:marLeft w:val="0"/>
      <w:marRight w:val="0"/>
      <w:marTop w:val="0"/>
      <w:marBottom w:val="0"/>
      <w:divBdr>
        <w:top w:val="none" w:sz="0" w:space="0" w:color="auto"/>
        <w:left w:val="none" w:sz="0" w:space="0" w:color="auto"/>
        <w:bottom w:val="none" w:sz="0" w:space="0" w:color="auto"/>
        <w:right w:val="none" w:sz="0" w:space="0" w:color="auto"/>
      </w:divBdr>
    </w:div>
    <w:div w:id="1248735239">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7826325">
      <w:bodyDiv w:val="1"/>
      <w:marLeft w:val="0"/>
      <w:marRight w:val="0"/>
      <w:marTop w:val="0"/>
      <w:marBottom w:val="0"/>
      <w:divBdr>
        <w:top w:val="none" w:sz="0" w:space="0" w:color="auto"/>
        <w:left w:val="none" w:sz="0" w:space="0" w:color="auto"/>
        <w:bottom w:val="none" w:sz="0" w:space="0" w:color="auto"/>
        <w:right w:val="none" w:sz="0" w:space="0" w:color="auto"/>
      </w:divBdr>
    </w:div>
    <w:div w:id="1423835473">
      <w:bodyDiv w:val="1"/>
      <w:marLeft w:val="0"/>
      <w:marRight w:val="0"/>
      <w:marTop w:val="0"/>
      <w:marBottom w:val="0"/>
      <w:divBdr>
        <w:top w:val="none" w:sz="0" w:space="0" w:color="auto"/>
        <w:left w:val="none" w:sz="0" w:space="0" w:color="auto"/>
        <w:bottom w:val="none" w:sz="0" w:space="0" w:color="auto"/>
        <w:right w:val="none" w:sz="0" w:space="0" w:color="auto"/>
      </w:divBdr>
    </w:div>
    <w:div w:id="1487042605">
      <w:bodyDiv w:val="1"/>
      <w:marLeft w:val="0"/>
      <w:marRight w:val="0"/>
      <w:marTop w:val="0"/>
      <w:marBottom w:val="0"/>
      <w:divBdr>
        <w:top w:val="none" w:sz="0" w:space="0" w:color="auto"/>
        <w:left w:val="none" w:sz="0" w:space="0" w:color="auto"/>
        <w:bottom w:val="none" w:sz="0" w:space="0" w:color="auto"/>
        <w:right w:val="none" w:sz="0" w:space="0" w:color="auto"/>
      </w:divBdr>
    </w:div>
    <w:div w:id="1568026896">
      <w:bodyDiv w:val="1"/>
      <w:marLeft w:val="0"/>
      <w:marRight w:val="0"/>
      <w:marTop w:val="0"/>
      <w:marBottom w:val="0"/>
      <w:divBdr>
        <w:top w:val="none" w:sz="0" w:space="0" w:color="auto"/>
        <w:left w:val="none" w:sz="0" w:space="0" w:color="auto"/>
        <w:bottom w:val="none" w:sz="0" w:space="0" w:color="auto"/>
        <w:right w:val="none" w:sz="0" w:space="0" w:color="auto"/>
      </w:divBdr>
      <w:divsChild>
        <w:div w:id="1213810809">
          <w:marLeft w:val="0"/>
          <w:marRight w:val="0"/>
          <w:marTop w:val="0"/>
          <w:marBottom w:val="0"/>
          <w:divBdr>
            <w:top w:val="none" w:sz="0" w:space="0" w:color="auto"/>
            <w:left w:val="none" w:sz="0" w:space="0" w:color="auto"/>
            <w:bottom w:val="none" w:sz="0" w:space="0" w:color="auto"/>
            <w:right w:val="none" w:sz="0" w:space="0" w:color="auto"/>
          </w:divBdr>
        </w:div>
        <w:div w:id="1732534885">
          <w:marLeft w:val="0"/>
          <w:marRight w:val="0"/>
          <w:marTop w:val="0"/>
          <w:marBottom w:val="0"/>
          <w:divBdr>
            <w:top w:val="none" w:sz="0" w:space="0" w:color="auto"/>
            <w:left w:val="none" w:sz="0" w:space="0" w:color="auto"/>
            <w:bottom w:val="none" w:sz="0" w:space="0" w:color="auto"/>
            <w:right w:val="none" w:sz="0" w:space="0" w:color="auto"/>
          </w:divBdr>
        </w:div>
      </w:divsChild>
    </w:div>
    <w:div w:id="1667203058">
      <w:bodyDiv w:val="1"/>
      <w:marLeft w:val="0"/>
      <w:marRight w:val="0"/>
      <w:marTop w:val="0"/>
      <w:marBottom w:val="0"/>
      <w:divBdr>
        <w:top w:val="none" w:sz="0" w:space="0" w:color="auto"/>
        <w:left w:val="none" w:sz="0" w:space="0" w:color="auto"/>
        <w:bottom w:val="none" w:sz="0" w:space="0" w:color="auto"/>
        <w:right w:val="none" w:sz="0" w:space="0" w:color="auto"/>
      </w:divBdr>
    </w:div>
    <w:div w:id="1817916553">
      <w:bodyDiv w:val="1"/>
      <w:marLeft w:val="0"/>
      <w:marRight w:val="0"/>
      <w:marTop w:val="0"/>
      <w:marBottom w:val="0"/>
      <w:divBdr>
        <w:top w:val="none" w:sz="0" w:space="0" w:color="auto"/>
        <w:left w:val="none" w:sz="0" w:space="0" w:color="auto"/>
        <w:bottom w:val="none" w:sz="0" w:space="0" w:color="auto"/>
        <w:right w:val="none" w:sz="0" w:space="0" w:color="auto"/>
      </w:divBdr>
    </w:div>
    <w:div w:id="1833830194">
      <w:bodyDiv w:val="1"/>
      <w:marLeft w:val="0"/>
      <w:marRight w:val="0"/>
      <w:marTop w:val="0"/>
      <w:marBottom w:val="0"/>
      <w:divBdr>
        <w:top w:val="none" w:sz="0" w:space="0" w:color="auto"/>
        <w:left w:val="none" w:sz="0" w:space="0" w:color="auto"/>
        <w:bottom w:val="none" w:sz="0" w:space="0" w:color="auto"/>
        <w:right w:val="none" w:sz="0" w:space="0" w:color="auto"/>
      </w:divBdr>
    </w:div>
    <w:div w:id="1847356495">
      <w:bodyDiv w:val="1"/>
      <w:marLeft w:val="0"/>
      <w:marRight w:val="0"/>
      <w:marTop w:val="0"/>
      <w:marBottom w:val="0"/>
      <w:divBdr>
        <w:top w:val="none" w:sz="0" w:space="0" w:color="auto"/>
        <w:left w:val="none" w:sz="0" w:space="0" w:color="auto"/>
        <w:bottom w:val="none" w:sz="0" w:space="0" w:color="auto"/>
        <w:right w:val="none" w:sz="0" w:space="0" w:color="auto"/>
      </w:divBdr>
    </w:div>
    <w:div w:id="1907646362">
      <w:bodyDiv w:val="1"/>
      <w:marLeft w:val="0"/>
      <w:marRight w:val="0"/>
      <w:marTop w:val="0"/>
      <w:marBottom w:val="0"/>
      <w:divBdr>
        <w:top w:val="none" w:sz="0" w:space="0" w:color="auto"/>
        <w:left w:val="none" w:sz="0" w:space="0" w:color="auto"/>
        <w:bottom w:val="none" w:sz="0" w:space="0" w:color="auto"/>
        <w:right w:val="none" w:sz="0" w:space="0" w:color="auto"/>
      </w:divBdr>
    </w:div>
    <w:div w:id="1940479452">
      <w:bodyDiv w:val="1"/>
      <w:marLeft w:val="0"/>
      <w:marRight w:val="0"/>
      <w:marTop w:val="0"/>
      <w:marBottom w:val="0"/>
      <w:divBdr>
        <w:top w:val="none" w:sz="0" w:space="0" w:color="auto"/>
        <w:left w:val="none" w:sz="0" w:space="0" w:color="auto"/>
        <w:bottom w:val="none" w:sz="0" w:space="0" w:color="auto"/>
        <w:right w:val="none" w:sz="0" w:space="0" w:color="auto"/>
      </w:divBdr>
    </w:div>
    <w:div w:id="1982538923">
      <w:bodyDiv w:val="1"/>
      <w:marLeft w:val="0"/>
      <w:marRight w:val="0"/>
      <w:marTop w:val="0"/>
      <w:marBottom w:val="0"/>
      <w:divBdr>
        <w:top w:val="none" w:sz="0" w:space="0" w:color="auto"/>
        <w:left w:val="none" w:sz="0" w:space="0" w:color="auto"/>
        <w:bottom w:val="none" w:sz="0" w:space="0" w:color="auto"/>
        <w:right w:val="none" w:sz="0" w:space="0" w:color="auto"/>
      </w:divBdr>
    </w:div>
    <w:div w:id="2037610362">
      <w:bodyDiv w:val="1"/>
      <w:marLeft w:val="0"/>
      <w:marRight w:val="0"/>
      <w:marTop w:val="0"/>
      <w:marBottom w:val="0"/>
      <w:divBdr>
        <w:top w:val="none" w:sz="0" w:space="0" w:color="auto"/>
        <w:left w:val="none" w:sz="0" w:space="0" w:color="auto"/>
        <w:bottom w:val="none" w:sz="0" w:space="0" w:color="auto"/>
        <w:right w:val="none" w:sz="0" w:space="0" w:color="auto"/>
      </w:divBdr>
    </w:div>
    <w:div w:id="212534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building-safety-leaseholder-protections-guidance-for-leaseholder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legislation.gov.uk/ukpga/1985/70" TargetMode="External"/><Relationship Id="rId17" Type="http://schemas.openxmlformats.org/officeDocument/2006/relationships/hyperlink" Target="https://www.legislation.gov.uk/ukpga/2022/30/contents/enacted" TargetMode="External"/><Relationship Id="rId2" Type="http://schemas.openxmlformats.org/officeDocument/2006/relationships/customXml" Target="../customXml/item2.xml"/><Relationship Id="rId16" Type="http://schemas.openxmlformats.org/officeDocument/2006/relationships/hyperlink" Target="https://www.legislation.gov.uk/uksi/2005/1541/contents/ma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uk/ukpga/2022/30/contents/enacted" TargetMode="Externa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legislation.gov.uk/uksi/2005/1541/contents/mad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2004/34/content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57a3155-09b1-4c7f-b74a-2caea8769067" xsi:nil="true"/>
    <SharedWithUsers xmlns="c0823a2d-6a08-4f6c-a458-d688a39ed891">
      <UserInfo>
        <DisplayName>Sean Guilfoyle</DisplayName>
        <AccountId>844</AccountId>
        <AccountType/>
      </UserInfo>
      <UserInfo>
        <DisplayName>Nicola Croden</DisplayName>
        <AccountId>1616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5EEEC503BD477458FC6FCA09A00EF15" ma:contentTypeVersion="13" ma:contentTypeDescription="Create a new document." ma:contentTypeScope="" ma:versionID="d8a4bbb4366a855e614605bf5613f3b9">
  <xsd:schema xmlns:xsd="http://www.w3.org/2001/XMLSchema" xmlns:xs="http://www.w3.org/2001/XMLSchema" xmlns:p="http://schemas.microsoft.com/office/2006/metadata/properties" xmlns:ns2="257a3155-09b1-4c7f-b74a-2caea8769067" xmlns:ns3="c0823a2d-6a08-4f6c-a458-d688a39ed891" targetNamespace="http://schemas.microsoft.com/office/2006/metadata/properties" ma:root="true" ma:fieldsID="91b5ffc30b64364b2f85f0a6842f9df0" ns2:_="" ns3:_="">
    <xsd:import namespace="257a3155-09b1-4c7f-b74a-2caea8769067"/>
    <xsd:import namespace="c0823a2d-6a08-4f6c-a458-d688a39ed8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a3155-09b1-4c7f-b74a-2caea87690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823a2d-6a08-4f6c-a458-d688a39ed8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A909C2-5525-4AEE-A117-7E7CB9445E58}">
  <ds:schemaRefs>
    <ds:schemaRef ds:uri="http://schemas.microsoft.com/office/2006/metadata/properties"/>
    <ds:schemaRef ds:uri="http://schemas.microsoft.com/office/infopath/2007/PartnerControls"/>
    <ds:schemaRef ds:uri="257a3155-09b1-4c7f-b74a-2caea8769067"/>
    <ds:schemaRef ds:uri="c0823a2d-6a08-4f6c-a458-d688a39ed891"/>
  </ds:schemaRefs>
</ds:datastoreItem>
</file>

<file path=customXml/itemProps2.xml><?xml version="1.0" encoding="utf-8"?>
<ds:datastoreItem xmlns:ds="http://schemas.openxmlformats.org/officeDocument/2006/customXml" ds:itemID="{C2693647-BFC9-4354-83DB-60FD75DB7DC3}">
  <ds:schemaRefs>
    <ds:schemaRef ds:uri="http://schemas.openxmlformats.org/officeDocument/2006/bibliography"/>
  </ds:schemaRefs>
</ds:datastoreItem>
</file>

<file path=customXml/itemProps3.xml><?xml version="1.0" encoding="utf-8"?>
<ds:datastoreItem xmlns:ds="http://schemas.openxmlformats.org/officeDocument/2006/customXml" ds:itemID="{690E4883-EAF2-4428-BB7D-EF93A25035B0}">
  <ds:schemaRefs>
    <ds:schemaRef ds:uri="http://schemas.microsoft.com/sharepoint/v3/contenttype/forms"/>
  </ds:schemaRefs>
</ds:datastoreItem>
</file>

<file path=customXml/itemProps4.xml><?xml version="1.0" encoding="utf-8"?>
<ds:datastoreItem xmlns:ds="http://schemas.openxmlformats.org/officeDocument/2006/customXml" ds:itemID="{DADAB6AE-5365-4F31-9268-F4B5BAAA4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a3155-09b1-4c7f-b74a-2caea8769067"/>
    <ds:schemaRef ds:uri="c0823a2d-6a08-4f6c-a458-d688a39ed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1169</TotalTime>
  <Pages>13</Pages>
  <Words>4788</Words>
  <Characters>27295</Characters>
  <Application>Microsoft Office Word</Application>
  <DocSecurity>0</DocSecurity>
  <Lines>227</Lines>
  <Paragraphs>64</Paragraphs>
  <ScaleCrop>false</ScaleCrop>
  <Company/>
  <LinksUpToDate>false</LinksUpToDate>
  <CharactersWithSpaces>32019</CharactersWithSpaces>
  <SharedDoc>false</SharedDoc>
  <HLinks>
    <vt:vector size="156" baseType="variant">
      <vt:variant>
        <vt:i4>1507422</vt:i4>
      </vt:variant>
      <vt:variant>
        <vt:i4>135</vt:i4>
      </vt:variant>
      <vt:variant>
        <vt:i4>0</vt:i4>
      </vt:variant>
      <vt:variant>
        <vt:i4>5</vt:i4>
      </vt:variant>
      <vt:variant>
        <vt:lpwstr>https://www.legislation.gov.uk/ukpga/2022/30/contents/enacted</vt:lpwstr>
      </vt:variant>
      <vt:variant>
        <vt:lpwstr/>
      </vt:variant>
      <vt:variant>
        <vt:i4>4063340</vt:i4>
      </vt:variant>
      <vt:variant>
        <vt:i4>131</vt:i4>
      </vt:variant>
      <vt:variant>
        <vt:i4>0</vt:i4>
      </vt:variant>
      <vt:variant>
        <vt:i4>5</vt:i4>
      </vt:variant>
      <vt:variant>
        <vt:lpwstr>https://www.legislation.gov.uk/uksi/2005/1541/contents/made</vt:lpwstr>
      </vt:variant>
      <vt:variant>
        <vt:lpwstr/>
      </vt:variant>
      <vt:variant>
        <vt:i4>4063340</vt:i4>
      </vt:variant>
      <vt:variant>
        <vt:i4>129</vt:i4>
      </vt:variant>
      <vt:variant>
        <vt:i4>0</vt:i4>
      </vt:variant>
      <vt:variant>
        <vt:i4>5</vt:i4>
      </vt:variant>
      <vt:variant>
        <vt:lpwstr>https://www.legislation.gov.uk/uksi/2005/1541/contents/made</vt:lpwstr>
      </vt:variant>
      <vt:variant>
        <vt:lpwstr/>
      </vt:variant>
      <vt:variant>
        <vt:i4>5636187</vt:i4>
      </vt:variant>
      <vt:variant>
        <vt:i4>126</vt:i4>
      </vt:variant>
      <vt:variant>
        <vt:i4>0</vt:i4>
      </vt:variant>
      <vt:variant>
        <vt:i4>5</vt:i4>
      </vt:variant>
      <vt:variant>
        <vt:lpwstr>https://www.legislation.gov.uk/ukpga/2004/34/contents</vt:lpwstr>
      </vt:variant>
      <vt:variant>
        <vt:lpwstr/>
      </vt:variant>
      <vt:variant>
        <vt:i4>1048663</vt:i4>
      </vt:variant>
      <vt:variant>
        <vt:i4>123</vt:i4>
      </vt:variant>
      <vt:variant>
        <vt:i4>0</vt:i4>
      </vt:variant>
      <vt:variant>
        <vt:i4>5</vt:i4>
      </vt:variant>
      <vt:variant>
        <vt:lpwstr>https://www.gov.uk/guidance/building-safety-leaseholder-protections-guidance-for-leaseholders</vt:lpwstr>
      </vt:variant>
      <vt:variant>
        <vt:lpwstr/>
      </vt:variant>
      <vt:variant>
        <vt:i4>4521997</vt:i4>
      </vt:variant>
      <vt:variant>
        <vt:i4>120</vt:i4>
      </vt:variant>
      <vt:variant>
        <vt:i4>0</vt:i4>
      </vt:variant>
      <vt:variant>
        <vt:i4>5</vt:i4>
      </vt:variant>
      <vt:variant>
        <vt:lpwstr>https://www.legislation.gov.uk/ukpga/1985/70</vt:lpwstr>
      </vt:variant>
      <vt:variant>
        <vt:lpwstr/>
      </vt:variant>
      <vt:variant>
        <vt:i4>1507422</vt:i4>
      </vt:variant>
      <vt:variant>
        <vt:i4>117</vt:i4>
      </vt:variant>
      <vt:variant>
        <vt:i4>0</vt:i4>
      </vt:variant>
      <vt:variant>
        <vt:i4>5</vt:i4>
      </vt:variant>
      <vt:variant>
        <vt:lpwstr>https://www.legislation.gov.uk/ukpga/2022/30/contents/enacted</vt:lpwstr>
      </vt:variant>
      <vt:variant>
        <vt:lpwstr/>
      </vt:variant>
      <vt:variant>
        <vt:i4>1966130</vt:i4>
      </vt:variant>
      <vt:variant>
        <vt:i4>110</vt:i4>
      </vt:variant>
      <vt:variant>
        <vt:i4>0</vt:i4>
      </vt:variant>
      <vt:variant>
        <vt:i4>5</vt:i4>
      </vt:variant>
      <vt:variant>
        <vt:lpwstr/>
      </vt:variant>
      <vt:variant>
        <vt:lpwstr>_Toc115948294</vt:lpwstr>
      </vt:variant>
      <vt:variant>
        <vt:i4>1966130</vt:i4>
      </vt:variant>
      <vt:variant>
        <vt:i4>104</vt:i4>
      </vt:variant>
      <vt:variant>
        <vt:i4>0</vt:i4>
      </vt:variant>
      <vt:variant>
        <vt:i4>5</vt:i4>
      </vt:variant>
      <vt:variant>
        <vt:lpwstr/>
      </vt:variant>
      <vt:variant>
        <vt:lpwstr>_Toc115948293</vt:lpwstr>
      </vt:variant>
      <vt:variant>
        <vt:i4>1966130</vt:i4>
      </vt:variant>
      <vt:variant>
        <vt:i4>98</vt:i4>
      </vt:variant>
      <vt:variant>
        <vt:i4>0</vt:i4>
      </vt:variant>
      <vt:variant>
        <vt:i4>5</vt:i4>
      </vt:variant>
      <vt:variant>
        <vt:lpwstr/>
      </vt:variant>
      <vt:variant>
        <vt:lpwstr>_Toc115948292</vt:lpwstr>
      </vt:variant>
      <vt:variant>
        <vt:i4>1966130</vt:i4>
      </vt:variant>
      <vt:variant>
        <vt:i4>92</vt:i4>
      </vt:variant>
      <vt:variant>
        <vt:i4>0</vt:i4>
      </vt:variant>
      <vt:variant>
        <vt:i4>5</vt:i4>
      </vt:variant>
      <vt:variant>
        <vt:lpwstr/>
      </vt:variant>
      <vt:variant>
        <vt:lpwstr>_Toc115948291</vt:lpwstr>
      </vt:variant>
      <vt:variant>
        <vt:i4>1966130</vt:i4>
      </vt:variant>
      <vt:variant>
        <vt:i4>86</vt:i4>
      </vt:variant>
      <vt:variant>
        <vt:i4>0</vt:i4>
      </vt:variant>
      <vt:variant>
        <vt:i4>5</vt:i4>
      </vt:variant>
      <vt:variant>
        <vt:lpwstr/>
      </vt:variant>
      <vt:variant>
        <vt:lpwstr>_Toc115948290</vt:lpwstr>
      </vt:variant>
      <vt:variant>
        <vt:i4>2031666</vt:i4>
      </vt:variant>
      <vt:variant>
        <vt:i4>80</vt:i4>
      </vt:variant>
      <vt:variant>
        <vt:i4>0</vt:i4>
      </vt:variant>
      <vt:variant>
        <vt:i4>5</vt:i4>
      </vt:variant>
      <vt:variant>
        <vt:lpwstr/>
      </vt:variant>
      <vt:variant>
        <vt:lpwstr>_Toc115948289</vt:lpwstr>
      </vt:variant>
      <vt:variant>
        <vt:i4>2031666</vt:i4>
      </vt:variant>
      <vt:variant>
        <vt:i4>74</vt:i4>
      </vt:variant>
      <vt:variant>
        <vt:i4>0</vt:i4>
      </vt:variant>
      <vt:variant>
        <vt:i4>5</vt:i4>
      </vt:variant>
      <vt:variant>
        <vt:lpwstr/>
      </vt:variant>
      <vt:variant>
        <vt:lpwstr>_Toc115948288</vt:lpwstr>
      </vt:variant>
      <vt:variant>
        <vt:i4>2031666</vt:i4>
      </vt:variant>
      <vt:variant>
        <vt:i4>68</vt:i4>
      </vt:variant>
      <vt:variant>
        <vt:i4>0</vt:i4>
      </vt:variant>
      <vt:variant>
        <vt:i4>5</vt:i4>
      </vt:variant>
      <vt:variant>
        <vt:lpwstr/>
      </vt:variant>
      <vt:variant>
        <vt:lpwstr>_Toc115948287</vt:lpwstr>
      </vt:variant>
      <vt:variant>
        <vt:i4>2031666</vt:i4>
      </vt:variant>
      <vt:variant>
        <vt:i4>62</vt:i4>
      </vt:variant>
      <vt:variant>
        <vt:i4>0</vt:i4>
      </vt:variant>
      <vt:variant>
        <vt:i4>5</vt:i4>
      </vt:variant>
      <vt:variant>
        <vt:lpwstr/>
      </vt:variant>
      <vt:variant>
        <vt:lpwstr>_Toc115948286</vt:lpwstr>
      </vt:variant>
      <vt:variant>
        <vt:i4>2031666</vt:i4>
      </vt:variant>
      <vt:variant>
        <vt:i4>56</vt:i4>
      </vt:variant>
      <vt:variant>
        <vt:i4>0</vt:i4>
      </vt:variant>
      <vt:variant>
        <vt:i4>5</vt:i4>
      </vt:variant>
      <vt:variant>
        <vt:lpwstr/>
      </vt:variant>
      <vt:variant>
        <vt:lpwstr>_Toc115948285</vt:lpwstr>
      </vt:variant>
      <vt:variant>
        <vt:i4>2031666</vt:i4>
      </vt:variant>
      <vt:variant>
        <vt:i4>50</vt:i4>
      </vt:variant>
      <vt:variant>
        <vt:i4>0</vt:i4>
      </vt:variant>
      <vt:variant>
        <vt:i4>5</vt:i4>
      </vt:variant>
      <vt:variant>
        <vt:lpwstr/>
      </vt:variant>
      <vt:variant>
        <vt:lpwstr>_Toc115948284</vt:lpwstr>
      </vt:variant>
      <vt:variant>
        <vt:i4>2031666</vt:i4>
      </vt:variant>
      <vt:variant>
        <vt:i4>44</vt:i4>
      </vt:variant>
      <vt:variant>
        <vt:i4>0</vt:i4>
      </vt:variant>
      <vt:variant>
        <vt:i4>5</vt:i4>
      </vt:variant>
      <vt:variant>
        <vt:lpwstr/>
      </vt:variant>
      <vt:variant>
        <vt:lpwstr>_Toc115948283</vt:lpwstr>
      </vt:variant>
      <vt:variant>
        <vt:i4>2031666</vt:i4>
      </vt:variant>
      <vt:variant>
        <vt:i4>38</vt:i4>
      </vt:variant>
      <vt:variant>
        <vt:i4>0</vt:i4>
      </vt:variant>
      <vt:variant>
        <vt:i4>5</vt:i4>
      </vt:variant>
      <vt:variant>
        <vt:lpwstr/>
      </vt:variant>
      <vt:variant>
        <vt:lpwstr>_Toc115948282</vt:lpwstr>
      </vt:variant>
      <vt:variant>
        <vt:i4>2031666</vt:i4>
      </vt:variant>
      <vt:variant>
        <vt:i4>32</vt:i4>
      </vt:variant>
      <vt:variant>
        <vt:i4>0</vt:i4>
      </vt:variant>
      <vt:variant>
        <vt:i4>5</vt:i4>
      </vt:variant>
      <vt:variant>
        <vt:lpwstr/>
      </vt:variant>
      <vt:variant>
        <vt:lpwstr>_Toc115948281</vt:lpwstr>
      </vt:variant>
      <vt:variant>
        <vt:i4>2031666</vt:i4>
      </vt:variant>
      <vt:variant>
        <vt:i4>26</vt:i4>
      </vt:variant>
      <vt:variant>
        <vt:i4>0</vt:i4>
      </vt:variant>
      <vt:variant>
        <vt:i4>5</vt:i4>
      </vt:variant>
      <vt:variant>
        <vt:lpwstr/>
      </vt:variant>
      <vt:variant>
        <vt:lpwstr>_Toc115948280</vt:lpwstr>
      </vt:variant>
      <vt:variant>
        <vt:i4>1048626</vt:i4>
      </vt:variant>
      <vt:variant>
        <vt:i4>20</vt:i4>
      </vt:variant>
      <vt:variant>
        <vt:i4>0</vt:i4>
      </vt:variant>
      <vt:variant>
        <vt:i4>5</vt:i4>
      </vt:variant>
      <vt:variant>
        <vt:lpwstr/>
      </vt:variant>
      <vt:variant>
        <vt:lpwstr>_Toc115948279</vt:lpwstr>
      </vt:variant>
      <vt:variant>
        <vt:i4>1048626</vt:i4>
      </vt:variant>
      <vt:variant>
        <vt:i4>14</vt:i4>
      </vt:variant>
      <vt:variant>
        <vt:i4>0</vt:i4>
      </vt:variant>
      <vt:variant>
        <vt:i4>5</vt:i4>
      </vt:variant>
      <vt:variant>
        <vt:lpwstr/>
      </vt:variant>
      <vt:variant>
        <vt:lpwstr>_Toc115948278</vt:lpwstr>
      </vt:variant>
      <vt:variant>
        <vt:i4>1048626</vt:i4>
      </vt:variant>
      <vt:variant>
        <vt:i4>8</vt:i4>
      </vt:variant>
      <vt:variant>
        <vt:i4>0</vt:i4>
      </vt:variant>
      <vt:variant>
        <vt:i4>5</vt:i4>
      </vt:variant>
      <vt:variant>
        <vt:lpwstr/>
      </vt:variant>
      <vt:variant>
        <vt:lpwstr>_Toc115948277</vt:lpwstr>
      </vt:variant>
      <vt:variant>
        <vt:i4>1048626</vt:i4>
      </vt:variant>
      <vt:variant>
        <vt:i4>2</vt:i4>
      </vt:variant>
      <vt:variant>
        <vt:i4>0</vt:i4>
      </vt:variant>
      <vt:variant>
        <vt:i4>5</vt:i4>
      </vt:variant>
      <vt:variant>
        <vt:lpwstr/>
      </vt:variant>
      <vt:variant>
        <vt:lpwstr>_Toc115948276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Beardsley</dc:creator>
  <cp:keywords/>
  <dc:description/>
  <cp:lastModifiedBy>Niamh Rafferty</cp:lastModifiedBy>
  <cp:revision>320</cp:revision>
  <dcterms:created xsi:type="dcterms:W3CDTF">2022-09-22T19:37:00Z</dcterms:created>
  <dcterms:modified xsi:type="dcterms:W3CDTF">2023-02-02T10:48:00Z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0x01010075EEEC503BD477458FC6FCA09A00EF15</vt:lpwstr>
  </property>
</Properties>
</file>